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25DB7" w:rsidRDefault="00D25DB7" w:rsidP="00D25DB7">
      <w:pPr>
        <w:jc w:val="center"/>
        <w:rPr>
          <w:rFonts w:ascii="Arial" w:eastAsia="Times New Roman" w:hAnsi="Arial" w:cs="Arial"/>
          <w:color w:val="000000"/>
          <w:lang w:eastAsia="es-CO"/>
        </w:rPr>
      </w:pPr>
    </w:p>
    <w:p w:rsidR="00D25DB7" w:rsidRPr="00D25DB7" w:rsidRDefault="00D25DB7" w:rsidP="00D25DB7">
      <w:pPr>
        <w:jc w:val="center"/>
        <w:rPr>
          <w:rFonts w:ascii="Arial" w:eastAsia="Times New Roman" w:hAnsi="Arial" w:cs="Arial"/>
          <w:color w:val="000000"/>
          <w:lang w:val="es-CO" w:eastAsia="es-CO"/>
        </w:rPr>
      </w:pPr>
      <w:r w:rsidRPr="0003706D">
        <w:rPr>
          <w:rFonts w:ascii="Arial" w:eastAsia="Times New Roman" w:hAnsi="Arial" w:cs="Arial"/>
          <w:color w:val="000000"/>
          <w:lang w:val="es-CO" w:eastAsia="es-CO"/>
        </w:rPr>
        <w:t>PROYECTO DE LEY No. ____ de 2018 Cámara</w:t>
      </w:r>
    </w:p>
    <w:p w:rsidR="00D25DB7" w:rsidRPr="0003706D" w:rsidRDefault="00D25DB7" w:rsidP="00D25DB7">
      <w:pPr>
        <w:jc w:val="center"/>
        <w:rPr>
          <w:rFonts w:eastAsia="Times New Roman"/>
          <w:lang w:val="es-CO" w:eastAsia="es-CO"/>
        </w:rPr>
      </w:pPr>
    </w:p>
    <w:p w:rsidR="00D25DB7" w:rsidRPr="00D25DB7" w:rsidRDefault="00D25DB7" w:rsidP="00D25DB7">
      <w:pPr>
        <w:rPr>
          <w:rFonts w:eastAsia="Times New Roman"/>
          <w:lang w:val="es-CO" w:eastAsia="es-CO"/>
        </w:rPr>
      </w:pPr>
    </w:p>
    <w:p w:rsidR="00D25DB7" w:rsidRPr="0003706D" w:rsidRDefault="00D25DB7" w:rsidP="00D25DB7">
      <w:pPr>
        <w:rPr>
          <w:rFonts w:eastAsia="Times New Roman"/>
          <w:lang w:val="es-CO" w:eastAsia="es-CO"/>
        </w:rPr>
      </w:pPr>
    </w:p>
    <w:p w:rsidR="00D25DB7" w:rsidRPr="00D25DB7" w:rsidRDefault="00D25DB7" w:rsidP="00D25DB7">
      <w:pPr>
        <w:jc w:val="center"/>
        <w:rPr>
          <w:rFonts w:ascii="Arial" w:eastAsia="Times New Roman" w:hAnsi="Arial" w:cs="Arial"/>
          <w:b/>
          <w:bCs/>
          <w:color w:val="000000"/>
          <w:lang w:val="es-CO" w:eastAsia="es-CO"/>
        </w:rPr>
      </w:pPr>
      <w:r w:rsidRPr="0003706D">
        <w:rPr>
          <w:rFonts w:ascii="Arial" w:eastAsia="Times New Roman" w:hAnsi="Arial" w:cs="Arial"/>
          <w:b/>
          <w:bCs/>
          <w:i/>
          <w:iCs/>
          <w:color w:val="000000"/>
          <w:lang w:val="es-CO" w:eastAsia="es-CO"/>
        </w:rPr>
        <w:t>"Por medio de la cual se adoptan normas de Pago en Plazos Justos en el ámbito mercantil y se dictan otras disposiciones en materia de pago y facturación</w:t>
      </w:r>
      <w:r w:rsidRPr="0003706D">
        <w:rPr>
          <w:rFonts w:ascii="Arial" w:eastAsia="Times New Roman" w:hAnsi="Arial" w:cs="Arial"/>
          <w:b/>
          <w:bCs/>
          <w:color w:val="000000"/>
          <w:lang w:val="es-CO" w:eastAsia="es-CO"/>
        </w:rPr>
        <w:t>”</w:t>
      </w:r>
    </w:p>
    <w:p w:rsidR="00D25DB7" w:rsidRPr="00D25DB7" w:rsidRDefault="00D25DB7" w:rsidP="00D25DB7">
      <w:pPr>
        <w:jc w:val="center"/>
        <w:rPr>
          <w:rFonts w:eastAsia="Times New Roman"/>
          <w:lang w:val="es-CO" w:eastAsia="es-CO"/>
        </w:rPr>
      </w:pPr>
    </w:p>
    <w:p w:rsidR="00D25DB7" w:rsidRPr="0003706D" w:rsidRDefault="00D25DB7" w:rsidP="00D25DB7">
      <w:pPr>
        <w:jc w:val="center"/>
        <w:rPr>
          <w:rFonts w:eastAsia="Times New Roman"/>
          <w:lang w:val="es-CO" w:eastAsia="es-CO"/>
        </w:rPr>
      </w:pPr>
    </w:p>
    <w:p w:rsidR="00D25DB7" w:rsidRPr="00D25DB7" w:rsidRDefault="00D25DB7" w:rsidP="00D25DB7">
      <w:pPr>
        <w:jc w:val="center"/>
        <w:rPr>
          <w:rFonts w:ascii="Arial" w:eastAsia="Times New Roman" w:hAnsi="Arial" w:cs="Arial"/>
          <w:color w:val="000000"/>
          <w:lang w:val="es-CO" w:eastAsia="es-CO"/>
        </w:rPr>
      </w:pPr>
      <w:r w:rsidRPr="0003706D">
        <w:rPr>
          <w:rFonts w:ascii="Arial" w:eastAsia="Times New Roman" w:hAnsi="Arial" w:cs="Arial"/>
          <w:color w:val="000000"/>
          <w:lang w:val="es-CO" w:eastAsia="es-CO"/>
        </w:rPr>
        <w:t xml:space="preserve">EL CONGRESO DE COLOMBIA </w:t>
      </w:r>
    </w:p>
    <w:p w:rsidR="00D25DB7" w:rsidRPr="0003706D" w:rsidRDefault="00D25DB7" w:rsidP="00D25DB7">
      <w:pPr>
        <w:jc w:val="center"/>
        <w:rPr>
          <w:rFonts w:eastAsia="Times New Roman"/>
          <w:lang w:val="es-CO" w:eastAsia="es-CO"/>
        </w:rPr>
      </w:pPr>
    </w:p>
    <w:p w:rsidR="00D25DB7" w:rsidRPr="00D25DB7" w:rsidRDefault="00D25DB7" w:rsidP="00D25DB7">
      <w:pPr>
        <w:jc w:val="center"/>
        <w:rPr>
          <w:rFonts w:ascii="Arial" w:eastAsia="Times New Roman" w:hAnsi="Arial" w:cs="Arial"/>
          <w:color w:val="000000"/>
          <w:lang w:val="es-CO" w:eastAsia="es-CO"/>
        </w:rPr>
      </w:pPr>
    </w:p>
    <w:p w:rsidR="00D25DB7" w:rsidRPr="0003706D" w:rsidRDefault="00D25DB7" w:rsidP="00D25DB7">
      <w:pPr>
        <w:jc w:val="center"/>
        <w:rPr>
          <w:rFonts w:eastAsia="Times New Roman"/>
          <w:lang w:val="es-CO" w:eastAsia="es-CO"/>
        </w:rPr>
      </w:pPr>
      <w:r w:rsidRPr="0003706D">
        <w:rPr>
          <w:rFonts w:ascii="Arial" w:eastAsia="Times New Roman" w:hAnsi="Arial" w:cs="Arial"/>
          <w:color w:val="000000"/>
          <w:lang w:val="es-CO" w:eastAsia="es-CO"/>
        </w:rPr>
        <w:t>DECRETA</w:t>
      </w:r>
    </w:p>
    <w:p w:rsidR="00D25DB7" w:rsidRPr="0003706D" w:rsidRDefault="00D25DB7" w:rsidP="00D25DB7">
      <w:pPr>
        <w:spacing w:after="240"/>
        <w:rPr>
          <w:rFonts w:eastAsia="Times New Roman"/>
          <w:lang w:val="es-CO" w:eastAsia="es-CO"/>
        </w:rPr>
      </w:pPr>
    </w:p>
    <w:p w:rsidR="00D25DB7" w:rsidRPr="0003706D" w:rsidRDefault="00D25DB7" w:rsidP="00D25DB7">
      <w:pPr>
        <w:jc w:val="both"/>
        <w:rPr>
          <w:rFonts w:eastAsia="Times New Roman"/>
          <w:lang w:val="es-CO" w:eastAsia="es-CO"/>
        </w:rPr>
      </w:pPr>
      <w:r w:rsidRPr="00D25DB7">
        <w:rPr>
          <w:rFonts w:ascii="Arial" w:eastAsia="Times New Roman" w:hAnsi="Arial" w:cs="Arial"/>
          <w:color w:val="000000"/>
          <w:lang w:val="es-CO" w:eastAsia="es-CO"/>
        </w:rPr>
        <w:tab/>
      </w:r>
      <w:r w:rsidRPr="0003706D">
        <w:rPr>
          <w:rFonts w:ascii="Arial" w:eastAsia="Times New Roman" w:hAnsi="Arial" w:cs="Arial"/>
          <w:b/>
          <w:bCs/>
          <w:color w:val="000000"/>
          <w:lang w:val="es-CO" w:eastAsia="es-CO"/>
        </w:rPr>
        <w:t>Artículo 1. Objeto.</w:t>
      </w:r>
      <w:r w:rsidRPr="0003706D">
        <w:rPr>
          <w:rFonts w:ascii="Arial" w:eastAsia="Times New Roman" w:hAnsi="Arial" w:cs="Arial"/>
          <w:color w:val="000000"/>
          <w:lang w:val="es-CO" w:eastAsia="es-CO"/>
        </w:rPr>
        <w:t xml:space="preserve"> La presente ley tiene como objeto desarrollar el principio de buena fe contractual y promoción de la libre competencia, mediante la adopción de una serie de medidas que protejan a las personas naturales y jurídicas que sean sometidas a condiciones contractuales gravosas en relación con los procedimientos y plazos de pago y facturación de sus operaciones comerciales, incorporando la obligación de Pago en Plazos Justos.</w:t>
      </w:r>
    </w:p>
    <w:p w:rsidR="00D25DB7" w:rsidRPr="0003706D" w:rsidRDefault="00D25DB7" w:rsidP="00D25DB7">
      <w:pPr>
        <w:spacing w:after="240"/>
        <w:rPr>
          <w:rFonts w:eastAsia="Times New Roman"/>
          <w:lang w:val="es-CO" w:eastAsia="es-CO"/>
        </w:rPr>
      </w:pPr>
    </w:p>
    <w:p w:rsidR="00D25DB7" w:rsidRPr="0003706D" w:rsidRDefault="00D25DB7" w:rsidP="00D25DB7">
      <w:pPr>
        <w:ind w:firstLine="720"/>
        <w:jc w:val="both"/>
        <w:rPr>
          <w:rFonts w:eastAsia="Times New Roman"/>
          <w:lang w:val="es-CO" w:eastAsia="es-CO"/>
        </w:rPr>
      </w:pPr>
      <w:r w:rsidRPr="0003706D">
        <w:rPr>
          <w:rFonts w:ascii="Arial" w:eastAsia="Times New Roman" w:hAnsi="Arial" w:cs="Arial"/>
          <w:b/>
          <w:bCs/>
          <w:color w:val="000000"/>
          <w:lang w:val="es-CO" w:eastAsia="es-CO"/>
        </w:rPr>
        <w:t xml:space="preserve">Artículo 2. </w:t>
      </w:r>
      <w:r w:rsidRPr="0003706D">
        <w:rPr>
          <w:rFonts w:ascii="Arial" w:eastAsia="Times New Roman" w:hAnsi="Arial" w:cs="Arial"/>
          <w:b/>
          <w:bCs/>
          <w:i/>
          <w:iCs/>
          <w:color w:val="000000"/>
          <w:lang w:val="es-CO" w:eastAsia="es-CO"/>
        </w:rPr>
        <w:t>Ámbito de Aplicación</w:t>
      </w:r>
      <w:r w:rsidRPr="0003706D">
        <w:rPr>
          <w:rFonts w:ascii="Arial" w:eastAsia="Times New Roman" w:hAnsi="Arial" w:cs="Arial"/>
          <w:i/>
          <w:iCs/>
          <w:color w:val="000000"/>
          <w:lang w:val="es-CO" w:eastAsia="es-CO"/>
        </w:rPr>
        <w:t xml:space="preserve">. </w:t>
      </w:r>
      <w:r w:rsidRPr="0003706D">
        <w:rPr>
          <w:rFonts w:ascii="Arial" w:eastAsia="Times New Roman" w:hAnsi="Arial" w:cs="Arial"/>
          <w:color w:val="000000"/>
          <w:lang w:val="es-CO" w:eastAsia="es-CO"/>
        </w:rPr>
        <w:t>Esta ley será de aplicación a todos los pagos causados como contraprestación en los actos mercantiles, ya sean efectuados por comerciantes o por personas que sin tener calidad de comerciantes ejerzan operaciones mercantiles, de conformidad con lo dispuesto en el Decreto 410 de 1971 (Código de Comercio), así como las realizadas entre los contratistas principales y sus proveedores y subcontratistas.</w:t>
      </w:r>
    </w:p>
    <w:p w:rsidR="00D25DB7" w:rsidRPr="0003706D" w:rsidRDefault="00D25DB7" w:rsidP="00D25DB7">
      <w:pPr>
        <w:rPr>
          <w:rFonts w:eastAsia="Times New Roman"/>
          <w:lang w:val="es-CO" w:eastAsia="es-CO"/>
        </w:rPr>
      </w:pPr>
    </w:p>
    <w:p w:rsidR="00D25DB7" w:rsidRPr="0003706D" w:rsidRDefault="00D25DB7" w:rsidP="00D25DB7">
      <w:pPr>
        <w:jc w:val="both"/>
        <w:rPr>
          <w:rFonts w:eastAsia="Times New Roman"/>
          <w:lang w:val="es-CO" w:eastAsia="es-CO"/>
        </w:rPr>
      </w:pPr>
      <w:r w:rsidRPr="0003706D">
        <w:rPr>
          <w:rFonts w:ascii="Arial" w:eastAsia="Times New Roman" w:hAnsi="Arial" w:cs="Arial"/>
          <w:color w:val="000000"/>
          <w:lang w:val="es-CO" w:eastAsia="es-CO"/>
        </w:rPr>
        <w:t>Quedan fuera del ámbito de aplicación de esta Ley:</w:t>
      </w:r>
    </w:p>
    <w:p w:rsidR="00D25DB7" w:rsidRPr="0003706D" w:rsidRDefault="00D25DB7" w:rsidP="00D25DB7">
      <w:pPr>
        <w:rPr>
          <w:rFonts w:eastAsia="Times New Roman"/>
          <w:lang w:val="es-CO" w:eastAsia="es-CO"/>
        </w:rPr>
      </w:pPr>
    </w:p>
    <w:p w:rsidR="00D25DB7" w:rsidRPr="0003706D" w:rsidRDefault="00D25DB7" w:rsidP="00D25DB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lang w:val="es-CO" w:eastAsia="es-CO"/>
        </w:rPr>
      </w:pPr>
      <w:r w:rsidRPr="0003706D">
        <w:rPr>
          <w:rFonts w:ascii="Arial" w:eastAsia="Times New Roman" w:hAnsi="Arial" w:cs="Arial"/>
          <w:color w:val="000000"/>
          <w:lang w:val="es-CO" w:eastAsia="es-CO"/>
        </w:rPr>
        <w:t>Los pagos efectuados en las operaciones comerciales en las que intervengan consumidores, y que estén sujetas a las normas de protección del consumidor.</w:t>
      </w:r>
    </w:p>
    <w:p w:rsidR="00D25DB7" w:rsidRPr="0003706D" w:rsidRDefault="00D25DB7" w:rsidP="00D25DB7">
      <w:pPr>
        <w:rPr>
          <w:rFonts w:eastAsia="Times New Roman"/>
          <w:lang w:val="es-CO" w:eastAsia="es-CO"/>
        </w:rPr>
      </w:pPr>
    </w:p>
    <w:p w:rsidR="00D25DB7" w:rsidRDefault="00D25DB7" w:rsidP="00D25DB7">
      <w:pPr>
        <w:pBdr>
          <w:top w:val="none" w:sz="0" w:space="0" w:color="auto"/>
          <w:left w:val="none" w:sz="0" w:space="0" w:color="auto"/>
          <w:bottom w:val="none" w:sz="0" w:space="0" w:color="auto"/>
          <w:right w:val="none" w:sz="0" w:space="0" w:color="auto"/>
          <w:between w:val="none" w:sz="0" w:space="0" w:color="auto"/>
          <w:bar w:val="none" w:sz="0" w:color="auto"/>
        </w:pBdr>
        <w:ind w:left="720"/>
        <w:jc w:val="both"/>
        <w:textAlignment w:val="baseline"/>
        <w:rPr>
          <w:rFonts w:ascii="Arial" w:eastAsia="Times New Roman" w:hAnsi="Arial" w:cs="Arial"/>
          <w:color w:val="000000"/>
          <w:lang w:val="es-CO" w:eastAsia="es-CO"/>
        </w:rPr>
      </w:pPr>
    </w:p>
    <w:p w:rsidR="00D25DB7" w:rsidRDefault="00D25DB7" w:rsidP="00D25DB7">
      <w:pPr>
        <w:pBdr>
          <w:top w:val="none" w:sz="0" w:space="0" w:color="auto"/>
          <w:left w:val="none" w:sz="0" w:space="0" w:color="auto"/>
          <w:bottom w:val="none" w:sz="0" w:space="0" w:color="auto"/>
          <w:right w:val="none" w:sz="0" w:space="0" w:color="auto"/>
          <w:between w:val="none" w:sz="0" w:space="0" w:color="auto"/>
          <w:bar w:val="none" w:sz="0" w:color="auto"/>
        </w:pBdr>
        <w:ind w:left="720"/>
        <w:jc w:val="both"/>
        <w:textAlignment w:val="baseline"/>
        <w:rPr>
          <w:rFonts w:ascii="Arial" w:eastAsia="Times New Roman" w:hAnsi="Arial" w:cs="Arial"/>
          <w:color w:val="000000"/>
          <w:lang w:val="es-CO" w:eastAsia="es-CO"/>
        </w:rPr>
      </w:pPr>
    </w:p>
    <w:p w:rsidR="00D25DB7" w:rsidRPr="0003706D" w:rsidRDefault="00D25DB7" w:rsidP="00D25DB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lang w:val="es-CO" w:eastAsia="es-CO"/>
        </w:rPr>
      </w:pPr>
      <w:r w:rsidRPr="0003706D">
        <w:rPr>
          <w:rFonts w:ascii="Arial" w:eastAsia="Times New Roman" w:hAnsi="Arial" w:cs="Arial"/>
          <w:color w:val="000000"/>
          <w:lang w:val="es-CO" w:eastAsia="es-CO"/>
        </w:rPr>
        <w:t xml:space="preserve">Los intereses relacionados con la legislación en materia de cheques, pagarés y letras de cambio y los pagos de indemnizaciones por daños, incluidos los pagos por entidades aseguradoras, así como el contrato de mutuo y otros </w:t>
      </w:r>
      <w:r w:rsidRPr="0003706D">
        <w:rPr>
          <w:rFonts w:ascii="Arial" w:eastAsia="Times New Roman" w:hAnsi="Arial" w:cs="Arial"/>
          <w:color w:val="000000"/>
          <w:lang w:val="es-CO" w:eastAsia="es-CO"/>
        </w:rPr>
        <w:lastRenderedPageBreak/>
        <w:t>contratos típicos o atípicos donde los plazos diferidos sean propios de la esencia del contrato respectivo.</w:t>
      </w:r>
    </w:p>
    <w:p w:rsidR="00D25DB7" w:rsidRPr="0003706D" w:rsidRDefault="00D25DB7" w:rsidP="00D25DB7">
      <w:pPr>
        <w:rPr>
          <w:rFonts w:eastAsia="Times New Roman"/>
          <w:lang w:val="es-CO" w:eastAsia="es-CO"/>
        </w:rPr>
      </w:pPr>
    </w:p>
    <w:p w:rsidR="00D25DB7" w:rsidRPr="0003706D" w:rsidRDefault="00D25DB7" w:rsidP="00D25DB7">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lang w:val="es-CO" w:eastAsia="es-CO"/>
        </w:rPr>
      </w:pPr>
      <w:r w:rsidRPr="0003706D">
        <w:rPr>
          <w:rFonts w:ascii="Arial" w:eastAsia="Times New Roman" w:hAnsi="Arial" w:cs="Arial"/>
          <w:color w:val="000000"/>
          <w:lang w:val="es-CO" w:eastAsia="es-CO"/>
        </w:rPr>
        <w:t>Las deudas sometidas a procedimientos concursales incoados contra el deudor, que se regirán por lo establecido en su legislación especial</w:t>
      </w:r>
    </w:p>
    <w:p w:rsidR="00D25DB7" w:rsidRPr="0003706D" w:rsidRDefault="00D25DB7" w:rsidP="00D25DB7">
      <w:pPr>
        <w:spacing w:after="240"/>
        <w:rPr>
          <w:rFonts w:eastAsia="Times New Roman"/>
          <w:lang w:val="es-CO" w:eastAsia="es-CO"/>
        </w:rPr>
      </w:pPr>
    </w:p>
    <w:p w:rsidR="00D25DB7" w:rsidRPr="00D25DB7" w:rsidRDefault="00D25DB7" w:rsidP="00D25DB7">
      <w:pPr>
        <w:ind w:firstLine="720"/>
        <w:jc w:val="both"/>
        <w:rPr>
          <w:rFonts w:ascii="Arial" w:eastAsia="Times New Roman" w:hAnsi="Arial" w:cs="Arial"/>
          <w:color w:val="000000"/>
          <w:lang w:val="es-CO" w:eastAsia="es-CO"/>
        </w:rPr>
      </w:pPr>
      <w:r w:rsidRPr="0003706D">
        <w:rPr>
          <w:rFonts w:ascii="Arial" w:eastAsia="Times New Roman" w:hAnsi="Arial" w:cs="Arial"/>
          <w:b/>
          <w:bCs/>
          <w:color w:val="000000"/>
          <w:lang w:val="es-CO" w:eastAsia="es-CO"/>
        </w:rPr>
        <w:t>Artículo 3. Obligación de Pago en Plazos Justos</w:t>
      </w:r>
      <w:r w:rsidRPr="0003706D">
        <w:rPr>
          <w:rFonts w:ascii="Arial" w:eastAsia="Times New Roman" w:hAnsi="Arial" w:cs="Arial"/>
          <w:color w:val="000000"/>
          <w:lang w:val="es-CO" w:eastAsia="es-CO"/>
        </w:rPr>
        <w:t xml:space="preserve">. En aplicación del principio de buena fe contractual contemplado en el artículo 871 de Decreto 410 de 1971 (Código de Comercio) se adopta como deber de todos los comerciantes y de quienes sin tener calidad de comerciantes ejerzan operaciones mercantiles, la obligación general de efectuar el Pago </w:t>
      </w:r>
    </w:p>
    <w:p w:rsidR="00D25DB7" w:rsidRPr="0003706D" w:rsidRDefault="00D25DB7" w:rsidP="00D25DB7">
      <w:pPr>
        <w:jc w:val="both"/>
        <w:rPr>
          <w:rFonts w:eastAsia="Times New Roman"/>
          <w:lang w:val="es-CO" w:eastAsia="es-CO"/>
        </w:rPr>
      </w:pPr>
      <w:r w:rsidRPr="0003706D">
        <w:rPr>
          <w:rFonts w:ascii="Arial" w:eastAsia="Times New Roman" w:hAnsi="Arial" w:cs="Arial"/>
          <w:color w:val="000000"/>
          <w:lang w:val="es-CO" w:eastAsia="es-CO"/>
        </w:rPr>
        <w:t xml:space="preserve">en Plazos Justos de sus obligaciones contractuales, atendiendo a los límites máximos dispuestos de la siguiente manera: </w:t>
      </w:r>
    </w:p>
    <w:p w:rsidR="00D25DB7" w:rsidRPr="0003706D" w:rsidRDefault="00D25DB7" w:rsidP="00D25DB7">
      <w:pPr>
        <w:rPr>
          <w:rFonts w:eastAsia="Times New Roman"/>
          <w:lang w:val="es-CO" w:eastAsia="es-CO"/>
        </w:rPr>
      </w:pPr>
    </w:p>
    <w:p w:rsidR="00D25DB7" w:rsidRPr="0003706D" w:rsidRDefault="00D25DB7" w:rsidP="00D25DB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lang w:val="es-CO" w:eastAsia="es-CO"/>
        </w:rPr>
      </w:pPr>
      <w:r w:rsidRPr="0003706D">
        <w:rPr>
          <w:rFonts w:ascii="Arial" w:eastAsia="Times New Roman" w:hAnsi="Arial" w:cs="Arial"/>
          <w:color w:val="000000"/>
          <w:lang w:val="es-CO" w:eastAsia="es-CO"/>
        </w:rPr>
        <w:t>A partir de la promulgación de la presente ley, el plazo máximo para pago de obligaciones de actos mercantiles, será de sesenta (60) días calendario, calculados a partir de la fecha de recepción de las mercancías o prestación de los servicios.</w:t>
      </w:r>
    </w:p>
    <w:p w:rsidR="00D25DB7" w:rsidRPr="0003706D" w:rsidRDefault="00D25DB7" w:rsidP="00D25DB7">
      <w:pPr>
        <w:rPr>
          <w:rFonts w:eastAsia="Times New Roman"/>
          <w:lang w:val="es-CO" w:eastAsia="es-CO"/>
        </w:rPr>
      </w:pPr>
    </w:p>
    <w:p w:rsidR="00D25DB7" w:rsidRPr="0003706D" w:rsidRDefault="00D25DB7" w:rsidP="00D25DB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lang w:val="es-CO" w:eastAsia="es-CO"/>
        </w:rPr>
      </w:pPr>
      <w:r w:rsidRPr="0003706D">
        <w:rPr>
          <w:rFonts w:ascii="Arial" w:eastAsia="Times New Roman" w:hAnsi="Arial" w:cs="Arial"/>
          <w:color w:val="000000"/>
          <w:lang w:val="es-CO" w:eastAsia="es-CO"/>
        </w:rPr>
        <w:t>Una vez transcurridos cinco (5) años de la promulgación de la presente ley, el plazo máximo para pago de obligaciones de actos mercantiles, se reducirá a cuarenta y cinco (45) días calendario, calculados a partir de la fecha de recepción de las mercancías o prestación de los servicios.</w:t>
      </w:r>
    </w:p>
    <w:p w:rsidR="00D25DB7" w:rsidRPr="0003706D" w:rsidRDefault="00D25DB7" w:rsidP="00D25DB7">
      <w:pPr>
        <w:rPr>
          <w:rFonts w:eastAsia="Times New Roman"/>
          <w:lang w:val="es-CO" w:eastAsia="es-CO"/>
        </w:rPr>
      </w:pPr>
    </w:p>
    <w:p w:rsidR="00D25DB7" w:rsidRDefault="00D25DB7" w:rsidP="00D25DB7">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lang w:val="es-CO" w:eastAsia="es-CO"/>
        </w:rPr>
      </w:pPr>
      <w:r w:rsidRPr="0003706D">
        <w:rPr>
          <w:rFonts w:ascii="Arial" w:eastAsia="Times New Roman" w:hAnsi="Arial" w:cs="Arial"/>
          <w:color w:val="000000"/>
          <w:lang w:val="es-CO" w:eastAsia="es-CO"/>
        </w:rPr>
        <w:t>Una vez transcurridos diez (10) años de la promulgación de la presente ley, el plazo máximo para pago de obligaciones de actos mercantiles, se reducirá a treinta (30) días calendario, calculados a partir de la fecha de recepción de las mercancías o prestación de los servicios</w:t>
      </w:r>
    </w:p>
    <w:p w:rsidR="00D25DB7" w:rsidRDefault="00D25DB7" w:rsidP="00D25DB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lang w:val="es-CO" w:eastAsia="es-CO"/>
        </w:rPr>
      </w:pPr>
    </w:p>
    <w:p w:rsidR="00D25DB7" w:rsidRDefault="00D25DB7" w:rsidP="00D25DB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lang w:val="es-CO" w:eastAsia="es-CO"/>
        </w:rPr>
      </w:pPr>
    </w:p>
    <w:p w:rsidR="00D25DB7" w:rsidRPr="0003706D" w:rsidRDefault="00D25DB7" w:rsidP="00D25DB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lang w:val="es-CO" w:eastAsia="es-CO"/>
        </w:rPr>
      </w:pPr>
    </w:p>
    <w:p w:rsidR="00D25DB7" w:rsidRPr="0003706D" w:rsidRDefault="00D25DB7" w:rsidP="00D25DB7">
      <w:pPr>
        <w:rPr>
          <w:rFonts w:eastAsia="Times New Roman"/>
          <w:lang w:val="es-CO" w:eastAsia="es-CO"/>
        </w:rPr>
      </w:pPr>
    </w:p>
    <w:p w:rsidR="00D25DB7" w:rsidRDefault="00D25DB7" w:rsidP="00D25DB7">
      <w:pPr>
        <w:ind w:firstLine="720"/>
        <w:jc w:val="both"/>
        <w:rPr>
          <w:rFonts w:ascii="Arial" w:eastAsia="Times New Roman" w:hAnsi="Arial" w:cs="Arial"/>
          <w:b/>
          <w:bCs/>
          <w:color w:val="000000"/>
          <w:lang w:val="es-CO" w:eastAsia="es-CO"/>
        </w:rPr>
      </w:pPr>
    </w:p>
    <w:p w:rsidR="00D25DB7" w:rsidRDefault="00D25DB7" w:rsidP="00D25DB7">
      <w:pPr>
        <w:ind w:firstLine="720"/>
        <w:jc w:val="both"/>
        <w:rPr>
          <w:rFonts w:ascii="Arial" w:eastAsia="Times New Roman" w:hAnsi="Arial" w:cs="Arial"/>
          <w:b/>
          <w:bCs/>
          <w:color w:val="000000"/>
          <w:lang w:val="es-CO" w:eastAsia="es-CO"/>
        </w:rPr>
      </w:pPr>
    </w:p>
    <w:p w:rsidR="00D25DB7" w:rsidRDefault="00D25DB7" w:rsidP="00D25DB7">
      <w:pPr>
        <w:ind w:firstLine="720"/>
        <w:jc w:val="both"/>
        <w:rPr>
          <w:rFonts w:ascii="Arial" w:eastAsia="Times New Roman" w:hAnsi="Arial" w:cs="Arial"/>
          <w:color w:val="000000"/>
          <w:lang w:val="es-CO" w:eastAsia="es-CO"/>
        </w:rPr>
      </w:pPr>
      <w:r w:rsidRPr="0003706D">
        <w:rPr>
          <w:rFonts w:ascii="Arial" w:eastAsia="Times New Roman" w:hAnsi="Arial" w:cs="Arial"/>
          <w:b/>
          <w:bCs/>
          <w:color w:val="000000"/>
          <w:lang w:val="es-CO" w:eastAsia="es-CO"/>
        </w:rPr>
        <w:t>Artículo 4. Disposiciones para procedimientos de facturación y pago de obligaciones</w:t>
      </w:r>
      <w:r w:rsidRPr="0003706D">
        <w:rPr>
          <w:rFonts w:ascii="Arial" w:eastAsia="Times New Roman" w:hAnsi="Arial" w:cs="Arial"/>
          <w:color w:val="000000"/>
          <w:lang w:val="es-CO" w:eastAsia="es-CO"/>
        </w:rPr>
        <w:t>. En aplicación del principio de buena fe contractual contemplado en el artículo 871 del Decreto 410 de 1971- Código de Comercio, todos los comerciantes y personas que sin tener calidad de comerciantes ejerzan operaciones mercantiles, deberán ajustar sus procedimientos y políticas de facturación y pago a lo dispuesto en la presente ley, incorporando las siguientes disposiciones mínimas:</w:t>
      </w:r>
    </w:p>
    <w:p w:rsidR="00D25DB7" w:rsidRPr="0003706D" w:rsidRDefault="00D25DB7" w:rsidP="00D25DB7">
      <w:pPr>
        <w:ind w:firstLine="720"/>
        <w:jc w:val="both"/>
        <w:rPr>
          <w:rFonts w:eastAsia="Times New Roman"/>
          <w:lang w:val="es-CO" w:eastAsia="es-CO"/>
        </w:rPr>
      </w:pPr>
    </w:p>
    <w:p w:rsidR="00D25DB7" w:rsidRPr="0003706D" w:rsidRDefault="00D25DB7" w:rsidP="00D25DB7">
      <w:pPr>
        <w:rPr>
          <w:rFonts w:eastAsia="Times New Roman"/>
          <w:lang w:val="es-CO" w:eastAsia="es-CO"/>
        </w:rPr>
      </w:pPr>
    </w:p>
    <w:p w:rsidR="00D25DB7" w:rsidRPr="0003706D" w:rsidRDefault="00D25DB7" w:rsidP="00D25DB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lang w:val="es-CO" w:eastAsia="es-CO"/>
        </w:rPr>
      </w:pPr>
      <w:r w:rsidRPr="0003706D">
        <w:rPr>
          <w:rFonts w:ascii="Arial" w:eastAsia="Times New Roman" w:hAnsi="Arial" w:cs="Arial"/>
          <w:color w:val="000000"/>
          <w:lang w:val="es-CO" w:eastAsia="es-CO"/>
        </w:rPr>
        <w:t>Para los contratos en que se requiera un procedimiento de aceptación o de comprobación mediante el cual deba verificarse la conformidad de los bienes o los servicios con lo dispuesto en el contrato, dicho procedimiento deberá efectuarse dentro de los plazos justos para pago dispuestos en el artículo 3 de la presente ley. En caso de que el contratante requiera del contratista alguna corrección o subsanación en el cumplimiento de sus obligaciones, dicha solicitud interrumpirá el cómputo del plazo para pago justo, el cual se continuará calculando a partir del día siguiente en que el contratista realice los ajustes o subsanación en el cumplimiento de sus obligaciones.</w:t>
      </w:r>
    </w:p>
    <w:p w:rsidR="00D25DB7" w:rsidRPr="0003706D" w:rsidRDefault="00D25DB7" w:rsidP="00D25DB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lang w:val="es-CO" w:eastAsia="es-CO"/>
        </w:rPr>
      </w:pPr>
      <w:r w:rsidRPr="0003706D">
        <w:rPr>
          <w:rFonts w:ascii="Arial" w:eastAsia="Times New Roman" w:hAnsi="Arial" w:cs="Arial"/>
          <w:color w:val="000000"/>
          <w:lang w:val="es-CO" w:eastAsia="es-CO"/>
        </w:rPr>
        <w:t xml:space="preserve">Para los procedimientos de verificación de facturas y documentos de soporte, el contratante deberá ajustar sus procedimientos para dar cabal cumplimiento a los plazos de pago justos dispuestos en la presente ley. Si la factura no ha sido rechazada en los términos legales vigentes, se entenderá que la factura ha sido aceptada. En caso de que el contratante requiera del contratista alguna corrección o subsanación en la factura o documentos de soporte, dicha solicitud interrumpirá el cómputo del plazo para pago justo, el cual se continuará calculando a partir del día siguiente en que el contratista realice los ajustes o subsanación requerida en la documentación. </w:t>
      </w:r>
    </w:p>
    <w:p w:rsidR="00D25DB7" w:rsidRDefault="00D25DB7" w:rsidP="00D25DB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lang w:val="es-CO" w:eastAsia="es-CO"/>
        </w:rPr>
      </w:pPr>
      <w:r w:rsidRPr="0003706D">
        <w:rPr>
          <w:rFonts w:ascii="Arial" w:eastAsia="Times New Roman" w:hAnsi="Arial" w:cs="Arial"/>
          <w:color w:val="000000"/>
          <w:lang w:val="es-CO" w:eastAsia="es-CO"/>
        </w:rPr>
        <w:t>Si dentro de los procedimientos y políticas de facturación y pago existe la obligación de adjuntar documentos de cualquier índole que deban ser emitidos por el mismo contratante y que sean pre-requisitos para la radicación de facturas, tales como actas de aprobación o informes de cumplimiento, será responsabilidad del contratante emitir dichos documentos de forma oportuna dentro de los plazos de pago justo dispuestos en la presente ley, y en ningún caso se podrá extender dichos plazos por la demora en la expedición de dichos documentos.  </w:t>
      </w:r>
    </w:p>
    <w:p w:rsidR="00D25DB7" w:rsidRDefault="00D25DB7" w:rsidP="00D25DB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lang w:val="es-CO" w:eastAsia="es-CO"/>
        </w:rPr>
      </w:pPr>
    </w:p>
    <w:p w:rsidR="00D25DB7" w:rsidRDefault="00D25DB7" w:rsidP="00D25DB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lang w:val="es-CO" w:eastAsia="es-CO"/>
        </w:rPr>
      </w:pPr>
    </w:p>
    <w:p w:rsidR="00D25DB7" w:rsidRPr="0003706D" w:rsidRDefault="00D25DB7" w:rsidP="00D25DB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lang w:val="es-CO" w:eastAsia="es-CO"/>
        </w:rPr>
      </w:pPr>
    </w:p>
    <w:p w:rsidR="00D25DB7" w:rsidRPr="0003706D" w:rsidRDefault="00D25DB7" w:rsidP="00D25DB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lang w:val="es-CO" w:eastAsia="es-CO"/>
        </w:rPr>
      </w:pPr>
      <w:r w:rsidRPr="0003706D">
        <w:rPr>
          <w:rFonts w:ascii="Arial" w:eastAsia="Times New Roman" w:hAnsi="Arial" w:cs="Arial"/>
          <w:color w:val="000000"/>
          <w:lang w:val="es-CO" w:eastAsia="es-CO"/>
        </w:rPr>
        <w:t>La recepción de la factura por medios electrónicos producirá los efectos de inicio del cómputo de plazo de pago, siempre que se encuentre garantizada la identidad y autenticidad del firmante, la integridad de la factura, y la recepción por el interesado, en los términos de las normas que regulan la materia.</w:t>
      </w:r>
    </w:p>
    <w:p w:rsidR="00D25DB7" w:rsidRPr="0003706D" w:rsidRDefault="00D25DB7" w:rsidP="00D25DB7">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lang w:val="es-CO" w:eastAsia="es-CO"/>
        </w:rPr>
      </w:pPr>
      <w:r w:rsidRPr="0003706D">
        <w:rPr>
          <w:rFonts w:ascii="Arial" w:eastAsia="Times New Roman" w:hAnsi="Arial" w:cs="Arial"/>
          <w:color w:val="000000"/>
          <w:lang w:val="es-CO" w:eastAsia="es-CO"/>
        </w:rPr>
        <w:t>La aplicación errónea o indebida de retenciones de cualquier naturaleza por parte del contratante, se entenderá como incumplimiento en el plazo del pago, y por lo tanto, incurrirá en mora y se generará la indemnización dispuesta en el artículo 5 de la presente ley.</w:t>
      </w:r>
    </w:p>
    <w:p w:rsidR="00D25DB7" w:rsidRPr="0003706D" w:rsidRDefault="00D25DB7" w:rsidP="00D25DB7">
      <w:pPr>
        <w:rPr>
          <w:rFonts w:eastAsia="Times New Roman"/>
          <w:lang w:val="es-CO" w:eastAsia="es-CO"/>
        </w:rPr>
      </w:pPr>
    </w:p>
    <w:p w:rsidR="00D25DB7" w:rsidRPr="0003706D" w:rsidRDefault="00D25DB7" w:rsidP="00D25DB7">
      <w:pPr>
        <w:ind w:firstLine="720"/>
        <w:jc w:val="both"/>
        <w:rPr>
          <w:rFonts w:eastAsia="Times New Roman"/>
          <w:lang w:val="es-CO" w:eastAsia="es-CO"/>
        </w:rPr>
      </w:pPr>
      <w:r w:rsidRPr="0003706D">
        <w:rPr>
          <w:rFonts w:ascii="Arial" w:eastAsia="Times New Roman" w:hAnsi="Arial" w:cs="Arial"/>
          <w:color w:val="000000"/>
          <w:lang w:val="es-CO" w:eastAsia="es-CO"/>
        </w:rPr>
        <w:lastRenderedPageBreak/>
        <w:t xml:space="preserve">Las disposiciones contenidas en la presente ley tendrán carácter de normas imperativas, y por lo tanto, no podrán ser modificadas por mutuo acuerdo entre las partes, y cualquier disposición contractual que le modifique o le contraríe, se entenderá como ineficaz de pleno derecho, sin necesidad de declaración judicial. </w:t>
      </w:r>
    </w:p>
    <w:p w:rsidR="00D25DB7" w:rsidRPr="0003706D" w:rsidRDefault="00D25DB7" w:rsidP="00D25DB7">
      <w:pPr>
        <w:spacing w:after="240"/>
        <w:rPr>
          <w:rFonts w:eastAsia="Times New Roman"/>
          <w:lang w:val="es-CO" w:eastAsia="es-CO"/>
        </w:rPr>
      </w:pPr>
    </w:p>
    <w:p w:rsidR="00D25DB7" w:rsidRPr="0003706D" w:rsidRDefault="00D25DB7" w:rsidP="00D25DB7">
      <w:pPr>
        <w:ind w:firstLine="720"/>
        <w:jc w:val="both"/>
        <w:rPr>
          <w:rFonts w:eastAsia="Times New Roman"/>
          <w:lang w:val="es-CO" w:eastAsia="es-CO"/>
        </w:rPr>
      </w:pPr>
      <w:r w:rsidRPr="0003706D">
        <w:rPr>
          <w:rFonts w:ascii="Arial" w:eastAsia="Times New Roman" w:hAnsi="Arial" w:cs="Arial"/>
          <w:b/>
          <w:bCs/>
          <w:color w:val="000000"/>
          <w:lang w:val="es-CO" w:eastAsia="es-CO"/>
        </w:rPr>
        <w:t xml:space="preserve">Artículo 5. </w:t>
      </w:r>
      <w:r w:rsidRPr="0003706D">
        <w:rPr>
          <w:rFonts w:ascii="Arial" w:eastAsia="Times New Roman" w:hAnsi="Arial" w:cs="Arial"/>
          <w:b/>
          <w:bCs/>
          <w:i/>
          <w:iCs/>
          <w:color w:val="000000"/>
          <w:lang w:val="es-CO" w:eastAsia="es-CO"/>
        </w:rPr>
        <w:t>Indemnización por costos de cobro</w:t>
      </w:r>
      <w:r w:rsidRPr="0003706D">
        <w:rPr>
          <w:rFonts w:ascii="Arial" w:eastAsia="Times New Roman" w:hAnsi="Arial" w:cs="Arial"/>
          <w:i/>
          <w:iCs/>
          <w:color w:val="000000"/>
          <w:lang w:val="es-CO" w:eastAsia="es-CO"/>
        </w:rPr>
        <w:t>.</w:t>
      </w:r>
      <w:r w:rsidRPr="0003706D">
        <w:rPr>
          <w:rFonts w:ascii="Arial" w:eastAsia="Times New Roman" w:hAnsi="Arial" w:cs="Arial"/>
          <w:color w:val="000000"/>
          <w:lang w:val="es-CO" w:eastAsia="es-CO"/>
        </w:rPr>
        <w:t xml:space="preserve"> Sin perjuicio de la aplicación de las normas vigentes sobre morosidad de las obligaciones y pago de intereses moratorios, cuando el contratante incurra en mora por el vencimiento del plazo de pago justo dispuesto en la presente Ley, el acreedor tendrá derecho a reclamar al deudor una indemnización por todos los costes de cobro debidamente acreditados en los que haya incurrido a causa de la mora de éste. En la determinación de estos costes de cobro se aplicarán los principios de transparencia y proporcionalidad respecto a la deuda principal. La indemnización no podrá superar, en ningún caso, el veinte (20%) por ciento de la cuantía de la deuda.</w:t>
      </w:r>
    </w:p>
    <w:p w:rsidR="00D25DB7" w:rsidRPr="0003706D" w:rsidRDefault="00D25DB7" w:rsidP="00D25DB7">
      <w:pPr>
        <w:rPr>
          <w:rFonts w:eastAsia="Times New Roman"/>
          <w:lang w:val="es-CO" w:eastAsia="es-CO"/>
        </w:rPr>
      </w:pPr>
    </w:p>
    <w:p w:rsidR="00D25DB7" w:rsidRPr="0003706D" w:rsidRDefault="00D25DB7" w:rsidP="00D25DB7">
      <w:pPr>
        <w:ind w:firstLine="720"/>
        <w:jc w:val="both"/>
        <w:rPr>
          <w:rFonts w:eastAsia="Times New Roman"/>
          <w:lang w:val="es-CO" w:eastAsia="es-CO"/>
        </w:rPr>
      </w:pPr>
      <w:r w:rsidRPr="0003706D">
        <w:rPr>
          <w:rFonts w:ascii="Arial" w:eastAsia="Times New Roman" w:hAnsi="Arial" w:cs="Arial"/>
          <w:color w:val="000000"/>
          <w:lang w:val="es-CO" w:eastAsia="es-CO"/>
        </w:rPr>
        <w:t>El deudor no estará obligado a pagar la indemnización cuando no sea responsable del retraso en el pago. El deudor no podrá bajo ningún caso, alegar la propia culpa, incluyendo la culpa de sus empleados o dependientes, o de sus procedimientos de facturación y pago. Todas las demoras de estos, serán reputadas como responsabilidad del deudor.  </w:t>
      </w:r>
    </w:p>
    <w:p w:rsidR="00D25DB7" w:rsidRPr="0003706D" w:rsidRDefault="00D25DB7" w:rsidP="00D25DB7">
      <w:pPr>
        <w:rPr>
          <w:rFonts w:eastAsia="Times New Roman"/>
          <w:lang w:val="es-CO" w:eastAsia="es-CO"/>
        </w:rPr>
      </w:pPr>
    </w:p>
    <w:p w:rsidR="00D25DB7" w:rsidRPr="0003706D" w:rsidRDefault="00D25DB7" w:rsidP="00D25DB7">
      <w:pPr>
        <w:ind w:firstLine="720"/>
        <w:jc w:val="both"/>
        <w:rPr>
          <w:rFonts w:eastAsia="Times New Roman"/>
          <w:lang w:val="es-CO" w:eastAsia="es-CO"/>
        </w:rPr>
      </w:pPr>
      <w:r w:rsidRPr="0003706D">
        <w:rPr>
          <w:rFonts w:ascii="Arial" w:eastAsia="Times New Roman" w:hAnsi="Arial" w:cs="Arial"/>
          <w:b/>
          <w:bCs/>
          <w:color w:val="000000"/>
          <w:lang w:val="es-CO" w:eastAsia="es-CO"/>
        </w:rPr>
        <w:t>Parágrafo.</w:t>
      </w:r>
      <w:r w:rsidRPr="0003706D">
        <w:rPr>
          <w:rFonts w:ascii="Arial" w:eastAsia="Times New Roman" w:hAnsi="Arial" w:cs="Arial"/>
          <w:color w:val="000000"/>
          <w:lang w:val="es-CO" w:eastAsia="es-CO"/>
        </w:rPr>
        <w:t xml:space="preserve"> Esta indemnización podrá ser cobrada a través de un proceso ejecutivo. Para este fin, el demandante deberá anexar a la demanda ejecutiva el respectivo contrato y la liquidación de la indemnización, que será entendido como un título ejecutivo en los términos del artículo 422 de la ley 1564 de 2012.</w:t>
      </w:r>
    </w:p>
    <w:p w:rsidR="00D25DB7" w:rsidRPr="0003706D" w:rsidRDefault="00D25DB7" w:rsidP="00D25DB7">
      <w:pPr>
        <w:spacing w:after="240"/>
        <w:rPr>
          <w:rFonts w:eastAsia="Times New Roman"/>
          <w:lang w:val="es-CO" w:eastAsia="es-CO"/>
        </w:rPr>
      </w:pPr>
    </w:p>
    <w:p w:rsidR="00D25DB7" w:rsidRDefault="00D25DB7" w:rsidP="00D25DB7">
      <w:pPr>
        <w:ind w:firstLine="720"/>
        <w:jc w:val="both"/>
        <w:rPr>
          <w:rFonts w:ascii="Arial" w:eastAsia="Times New Roman" w:hAnsi="Arial" w:cs="Arial"/>
          <w:b/>
          <w:bCs/>
          <w:color w:val="000000"/>
          <w:lang w:val="es-CO" w:eastAsia="es-CO"/>
        </w:rPr>
      </w:pPr>
    </w:p>
    <w:p w:rsidR="00D25DB7" w:rsidRDefault="00D25DB7" w:rsidP="00D25DB7">
      <w:pPr>
        <w:ind w:firstLine="720"/>
        <w:jc w:val="both"/>
        <w:rPr>
          <w:rFonts w:ascii="Arial" w:eastAsia="Times New Roman" w:hAnsi="Arial" w:cs="Arial"/>
          <w:color w:val="000000"/>
          <w:lang w:val="es-CO" w:eastAsia="es-CO"/>
        </w:rPr>
      </w:pPr>
      <w:r w:rsidRPr="0003706D">
        <w:rPr>
          <w:rFonts w:ascii="Arial" w:eastAsia="Times New Roman" w:hAnsi="Arial" w:cs="Arial"/>
          <w:b/>
          <w:bCs/>
          <w:color w:val="000000"/>
          <w:lang w:val="es-CO" w:eastAsia="es-CO"/>
        </w:rPr>
        <w:t>Artículo 6. Sanciones</w:t>
      </w:r>
      <w:r w:rsidRPr="0003706D">
        <w:rPr>
          <w:rFonts w:ascii="Arial" w:eastAsia="Times New Roman" w:hAnsi="Arial" w:cs="Arial"/>
          <w:color w:val="000000"/>
          <w:lang w:val="es-CO" w:eastAsia="es-CO"/>
        </w:rPr>
        <w:t>. La Superintendencia de Industria y Comercio podrá sancionar a las personas jurídicas o naturales que de forma reiterada incurran en incumplimiento de las disposiciones de la presente Ley. La Superintendencia de Industria y Comercio, dentro de los seis (6) meses siguientes a la promulgación de la presente Ley, reglamentará el procedimiento para imponer dichas sanciones, incluyendo la forma en que se recibirán, de forma confidencial, las denuncias sobre conductas que incurran en incumplimiento a la presente ley, el procedimiento para su vigilancia y sanción. Las sanciones podrán ser recurrentes en la medida en que los sancionados incurran nuevamente en incumplimientos.</w:t>
      </w:r>
    </w:p>
    <w:p w:rsidR="00D25DB7" w:rsidRDefault="00D25DB7" w:rsidP="00D25DB7">
      <w:pPr>
        <w:ind w:firstLine="720"/>
        <w:jc w:val="both"/>
        <w:rPr>
          <w:rFonts w:ascii="Arial" w:eastAsia="Times New Roman" w:hAnsi="Arial" w:cs="Arial"/>
          <w:color w:val="000000"/>
          <w:lang w:val="es-CO" w:eastAsia="es-CO"/>
        </w:rPr>
      </w:pPr>
    </w:p>
    <w:p w:rsidR="00D25DB7" w:rsidRPr="0003706D" w:rsidRDefault="00D25DB7" w:rsidP="00D25DB7">
      <w:pPr>
        <w:ind w:firstLine="720"/>
        <w:jc w:val="both"/>
        <w:rPr>
          <w:rFonts w:eastAsia="Times New Roman"/>
          <w:lang w:val="es-CO" w:eastAsia="es-CO"/>
        </w:rPr>
      </w:pPr>
    </w:p>
    <w:p w:rsidR="00D25DB7" w:rsidRPr="0003706D" w:rsidRDefault="00D25DB7" w:rsidP="00D25DB7">
      <w:pPr>
        <w:ind w:firstLine="720"/>
        <w:jc w:val="both"/>
        <w:rPr>
          <w:rFonts w:eastAsia="Times New Roman"/>
          <w:lang w:val="es-CO" w:eastAsia="es-CO"/>
        </w:rPr>
      </w:pPr>
      <w:r w:rsidRPr="0003706D">
        <w:rPr>
          <w:rFonts w:ascii="Arial" w:eastAsia="Times New Roman" w:hAnsi="Arial" w:cs="Arial"/>
          <w:b/>
          <w:bCs/>
          <w:color w:val="000000"/>
          <w:lang w:val="es-CO" w:eastAsia="es-CO"/>
        </w:rPr>
        <w:lastRenderedPageBreak/>
        <w:t xml:space="preserve">Artículo 7. </w:t>
      </w:r>
      <w:r w:rsidRPr="0003706D">
        <w:rPr>
          <w:rFonts w:ascii="Arial" w:eastAsia="Times New Roman" w:hAnsi="Arial" w:cs="Arial"/>
          <w:i/>
          <w:iCs/>
          <w:color w:val="000000"/>
          <w:lang w:val="es-CO" w:eastAsia="es-CO"/>
        </w:rPr>
        <w:t xml:space="preserve">Vigencias y derogaciones. </w:t>
      </w:r>
      <w:r w:rsidRPr="0003706D">
        <w:rPr>
          <w:rFonts w:ascii="Arial" w:eastAsia="Times New Roman" w:hAnsi="Arial" w:cs="Arial"/>
          <w:color w:val="000000"/>
          <w:lang w:val="es-CO" w:eastAsia="es-CO"/>
        </w:rPr>
        <w:t>Esta ley rige desde su promulgación y deroga todas las disposiciones que le sean contrarias.</w:t>
      </w:r>
    </w:p>
    <w:p w:rsidR="00D25DB7" w:rsidRDefault="00D25DB7" w:rsidP="00D25DB7">
      <w:pPr>
        <w:spacing w:after="240"/>
        <w:rPr>
          <w:rFonts w:eastAsia="Times New Roman"/>
          <w:lang w:val="es-CO" w:eastAsia="es-CO"/>
        </w:rPr>
      </w:pPr>
      <w:r w:rsidRPr="0003706D">
        <w:rPr>
          <w:rFonts w:eastAsia="Times New Roman"/>
          <w:lang w:val="es-CO" w:eastAsia="es-CO"/>
        </w:rPr>
        <w:br/>
      </w:r>
    </w:p>
    <w:p w:rsidR="00D25DB7" w:rsidRDefault="00D25DB7" w:rsidP="00D25DB7">
      <w:pPr>
        <w:jc w:val="both"/>
        <w:rPr>
          <w:rFonts w:ascii="Arial" w:eastAsia="Times New Roman" w:hAnsi="Arial" w:cs="Arial"/>
          <w:color w:val="000000"/>
          <w:lang w:val="es-CO" w:eastAsia="es-CO"/>
        </w:rPr>
      </w:pPr>
    </w:p>
    <w:p w:rsidR="00D25DB7" w:rsidRDefault="00D25DB7" w:rsidP="00D25DB7">
      <w:pPr>
        <w:jc w:val="both"/>
        <w:rPr>
          <w:rFonts w:ascii="Arial" w:eastAsia="Times New Roman" w:hAnsi="Arial" w:cs="Arial"/>
          <w:color w:val="000000"/>
          <w:lang w:val="es-CO" w:eastAsia="es-CO"/>
        </w:rPr>
      </w:pPr>
      <w:r w:rsidRPr="0003706D">
        <w:rPr>
          <w:rFonts w:ascii="Arial" w:eastAsia="Times New Roman" w:hAnsi="Arial" w:cs="Arial"/>
          <w:color w:val="000000"/>
          <w:lang w:val="es-CO" w:eastAsia="es-CO"/>
        </w:rPr>
        <w:t xml:space="preserve">Cordialmente, </w:t>
      </w:r>
    </w:p>
    <w:p w:rsidR="00D25DB7" w:rsidRDefault="00D25DB7" w:rsidP="00D25DB7">
      <w:pPr>
        <w:jc w:val="both"/>
        <w:rPr>
          <w:rFonts w:eastAsia="Times New Roman"/>
          <w:lang w:val="es-CO" w:eastAsia="es-CO"/>
        </w:rPr>
      </w:pPr>
      <w:r w:rsidRPr="0003706D">
        <w:rPr>
          <w:rFonts w:eastAsia="Times New Roman"/>
          <w:lang w:val="es-CO" w:eastAsia="es-CO"/>
        </w:rPr>
        <w:br/>
      </w:r>
    </w:p>
    <w:p w:rsidR="00D25DB7" w:rsidRPr="0003706D" w:rsidRDefault="00D25DB7" w:rsidP="00D25DB7">
      <w:pPr>
        <w:jc w:val="both"/>
        <w:rPr>
          <w:rFonts w:eastAsia="Times New Roman"/>
          <w:lang w:val="es-CO" w:eastAsia="es-CO"/>
        </w:rPr>
      </w:pPr>
      <w:r w:rsidRPr="0003706D">
        <w:rPr>
          <w:rFonts w:eastAsia="Times New Roman"/>
          <w:lang w:val="es-CO" w:eastAsia="es-CO"/>
        </w:rPr>
        <w:br/>
      </w:r>
      <w:r w:rsidRPr="0003706D">
        <w:rPr>
          <w:rFonts w:eastAsia="Times New Roman"/>
          <w:lang w:val="es-CO" w:eastAsia="es-CO"/>
        </w:rPr>
        <w:br/>
      </w:r>
    </w:p>
    <w:p w:rsidR="00D25DB7" w:rsidRPr="0003706D" w:rsidRDefault="00D25DB7" w:rsidP="00D25DB7">
      <w:pPr>
        <w:tabs>
          <w:tab w:val="left" w:pos="5415"/>
        </w:tabs>
        <w:rPr>
          <w:rFonts w:eastAsia="Times New Roman"/>
          <w:lang w:val="es-CO" w:eastAsia="es-CO"/>
        </w:rPr>
      </w:pPr>
      <w:r w:rsidRPr="00D25DB7">
        <w:rPr>
          <w:rFonts w:ascii="Arial" w:eastAsia="Times New Roman" w:hAnsi="Arial" w:cs="Arial"/>
          <w:noProof/>
          <w:color w:val="000000"/>
          <w:lang w:val="es-CO" w:eastAsia="es-CO"/>
        </w:rPr>
        <mc:AlternateContent>
          <mc:Choice Requires="wps">
            <w:drawing>
              <wp:anchor distT="0" distB="0" distL="114300" distR="114300" simplePos="0" relativeHeight="251661312" behindDoc="0" locked="0" layoutInCell="1" allowOverlap="1" wp14:anchorId="577F1E04" wp14:editId="42AF6296">
                <wp:simplePos x="0" y="0"/>
                <wp:positionH relativeFrom="margin">
                  <wp:align>right</wp:align>
                </wp:positionH>
                <wp:positionV relativeFrom="paragraph">
                  <wp:posOffset>6985</wp:posOffset>
                </wp:positionV>
                <wp:extent cx="2200275" cy="0"/>
                <wp:effectExtent l="0" t="0" r="28575" b="19050"/>
                <wp:wrapNone/>
                <wp:docPr id="29" name="Conector recto 29"/>
                <wp:cNvGraphicFramePr/>
                <a:graphic xmlns:a="http://schemas.openxmlformats.org/drawingml/2006/main">
                  <a:graphicData uri="http://schemas.microsoft.com/office/word/2010/wordprocessingShape">
                    <wps:wsp>
                      <wps:cNvCnPr/>
                      <wps:spPr>
                        <a:xfrm>
                          <a:off x="0" y="0"/>
                          <a:ext cx="220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AA07BE" id="Conector recto 29" o:spid="_x0000_s1026" style="position:absolute;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122.05pt,.55pt" to="295.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" strokecolor="black [3213]">
                <w10:wrap anchorx="margin"/>
              </v:line>
            </w:pict>
          </mc:Fallback>
        </mc:AlternateContent>
      </w:r>
      <w:r w:rsidRPr="0003706D">
        <w:rPr>
          <w:rFonts w:ascii="Arial" w:eastAsia="Times New Roman" w:hAnsi="Arial" w:cs="Arial"/>
          <w:b/>
          <w:bCs/>
          <w:color w:val="000000"/>
          <w:lang w:val="es-CO" w:eastAsia="es-CO"/>
        </w:rPr>
        <w:t>MAURICIO TORO ORJUELA</w:t>
      </w:r>
      <w:r>
        <w:rPr>
          <w:rFonts w:ascii="Arial" w:eastAsia="Times New Roman" w:hAnsi="Arial" w:cs="Arial"/>
          <w:b/>
          <w:bCs/>
          <w:color w:val="000000"/>
          <w:lang w:val="es-CO" w:eastAsia="es-CO"/>
        </w:rPr>
        <w:tab/>
      </w:r>
      <w:r w:rsidRPr="00D25DB7">
        <w:rPr>
          <w:rFonts w:ascii="Arial" w:eastAsia="Times New Roman" w:hAnsi="Arial" w:cs="Arial"/>
          <w:bCs/>
          <w:color w:val="000000"/>
          <w:lang w:val="es-CO" w:eastAsia="es-CO"/>
        </w:rPr>
        <w:t>H.R</w:t>
      </w:r>
      <w:r>
        <w:rPr>
          <w:rFonts w:ascii="Arial" w:eastAsia="Times New Roman" w:hAnsi="Arial" w:cs="Arial"/>
          <w:bCs/>
          <w:color w:val="000000"/>
          <w:lang w:val="es-CO" w:eastAsia="es-CO"/>
        </w:rPr>
        <w:t>.</w:t>
      </w:r>
      <w:r>
        <w:rPr>
          <w:rFonts w:ascii="Arial" w:eastAsia="Times New Roman" w:hAnsi="Arial" w:cs="Arial"/>
          <w:b/>
          <w:bCs/>
          <w:color w:val="000000"/>
          <w:lang w:val="es-CO" w:eastAsia="es-CO"/>
        </w:rPr>
        <w:t xml:space="preserve"> </w:t>
      </w:r>
    </w:p>
    <w:p w:rsidR="00D25DB7" w:rsidRPr="0003706D" w:rsidRDefault="00D25DB7" w:rsidP="00D25DB7">
      <w:pPr>
        <w:tabs>
          <w:tab w:val="left" w:pos="5415"/>
        </w:tabs>
        <w:rPr>
          <w:rFonts w:eastAsia="Times New Roman"/>
          <w:lang w:val="es-CO" w:eastAsia="es-CO"/>
        </w:rPr>
      </w:pPr>
      <w:r w:rsidRPr="0003706D">
        <w:rPr>
          <w:rFonts w:ascii="Arial" w:eastAsia="Times New Roman" w:hAnsi="Arial" w:cs="Arial"/>
          <w:color w:val="000000"/>
          <w:lang w:val="es-CO" w:eastAsia="es-CO"/>
        </w:rPr>
        <w:t>Representante a la Cámara- Bogotá</w:t>
      </w:r>
      <w:r>
        <w:rPr>
          <w:rFonts w:ascii="Arial" w:eastAsia="Times New Roman" w:hAnsi="Arial" w:cs="Arial"/>
          <w:color w:val="000000"/>
          <w:lang w:val="es-CO" w:eastAsia="es-CO"/>
        </w:rPr>
        <w:tab/>
        <w:t xml:space="preserve">Partido </w:t>
      </w:r>
    </w:p>
    <w:p w:rsidR="00D25DB7" w:rsidRPr="00D25DB7" w:rsidRDefault="00D25DB7" w:rsidP="00D25DB7">
      <w:pPr>
        <w:rPr>
          <w:rFonts w:ascii="Arial" w:eastAsia="Times New Roman" w:hAnsi="Arial" w:cs="Arial"/>
          <w:color w:val="000000"/>
          <w:lang w:val="es-CO" w:eastAsia="es-CO"/>
        </w:rPr>
      </w:pPr>
      <w:r w:rsidRPr="0003706D">
        <w:rPr>
          <w:rFonts w:ascii="Arial" w:eastAsia="Times New Roman" w:hAnsi="Arial" w:cs="Arial"/>
          <w:color w:val="000000"/>
          <w:lang w:val="es-CO" w:eastAsia="es-CO"/>
        </w:rPr>
        <w:t>Partido Alianza Verde</w:t>
      </w:r>
    </w:p>
    <w:p w:rsidR="00D25DB7" w:rsidRPr="00D25DB7" w:rsidRDefault="00D25DB7" w:rsidP="00D25DB7">
      <w:pPr>
        <w:rPr>
          <w:rFonts w:ascii="Arial" w:eastAsia="Times New Roman" w:hAnsi="Arial" w:cs="Arial"/>
          <w:color w:val="000000"/>
          <w:lang w:val="es-CO" w:eastAsia="es-CO"/>
        </w:rPr>
      </w:pPr>
    </w:p>
    <w:p w:rsidR="00D25DB7" w:rsidRPr="00D25DB7" w:rsidRDefault="00D25DB7" w:rsidP="00D25DB7">
      <w:pPr>
        <w:rPr>
          <w:rFonts w:ascii="Arial" w:eastAsia="Times New Roman" w:hAnsi="Arial" w:cs="Arial"/>
          <w:color w:val="000000"/>
          <w:lang w:val="es-CO" w:eastAsia="es-CO"/>
        </w:rPr>
      </w:pPr>
    </w:p>
    <w:p w:rsidR="00D25DB7" w:rsidRPr="00D25DB7" w:rsidRDefault="00D25DB7" w:rsidP="00D25DB7">
      <w:pPr>
        <w:rPr>
          <w:rFonts w:ascii="Arial" w:eastAsia="Times New Roman" w:hAnsi="Arial" w:cs="Arial"/>
          <w:color w:val="000000"/>
          <w:lang w:val="es-CO" w:eastAsia="es-CO"/>
        </w:rPr>
      </w:pPr>
    </w:p>
    <w:p w:rsidR="00D25DB7" w:rsidRPr="00D25DB7" w:rsidRDefault="00D25DB7" w:rsidP="00D25DB7">
      <w:pPr>
        <w:rPr>
          <w:rFonts w:ascii="Arial" w:eastAsia="Times New Roman" w:hAnsi="Arial" w:cs="Arial"/>
          <w:color w:val="000000"/>
          <w:lang w:val="es-CO" w:eastAsia="es-CO"/>
        </w:rPr>
      </w:pPr>
    </w:p>
    <w:p w:rsidR="00D25DB7" w:rsidRPr="00D25DB7" w:rsidRDefault="00D25DB7" w:rsidP="00D25DB7">
      <w:pPr>
        <w:rPr>
          <w:rFonts w:ascii="Arial" w:eastAsia="Times New Roman" w:hAnsi="Arial" w:cs="Arial"/>
          <w:color w:val="000000"/>
          <w:lang w:val="es-CO" w:eastAsia="es-CO"/>
        </w:rPr>
      </w:pPr>
    </w:p>
    <w:p w:rsidR="00D25DB7" w:rsidRPr="00D25DB7" w:rsidRDefault="00D25DB7" w:rsidP="00D25DB7">
      <w:pPr>
        <w:tabs>
          <w:tab w:val="left" w:pos="5325"/>
        </w:tabs>
        <w:rPr>
          <w:rFonts w:ascii="Arial" w:hAnsi="Arial" w:cs="Arial"/>
          <w:lang w:val="es-CO"/>
        </w:rPr>
      </w:pPr>
      <w:r w:rsidRPr="00D25DB7">
        <w:rPr>
          <w:rFonts w:ascii="Arial" w:eastAsia="Times New Roman" w:hAnsi="Arial" w:cs="Arial"/>
          <w:noProof/>
          <w:color w:val="000000"/>
          <w:lang w:val="es-CO" w:eastAsia="es-CO"/>
        </w:rPr>
        <mc:AlternateContent>
          <mc:Choice Requires="wps">
            <w:drawing>
              <wp:anchor distT="0" distB="0" distL="114300" distR="114300" simplePos="0" relativeHeight="251660288" behindDoc="0" locked="0" layoutInCell="1" allowOverlap="1" wp14:anchorId="3033738A" wp14:editId="40E43B6A">
                <wp:simplePos x="0" y="0"/>
                <wp:positionH relativeFrom="margin">
                  <wp:align>right</wp:align>
                </wp:positionH>
                <wp:positionV relativeFrom="paragraph">
                  <wp:posOffset>8255</wp:posOffset>
                </wp:positionV>
                <wp:extent cx="2200275" cy="0"/>
                <wp:effectExtent l="0" t="0" r="28575" b="19050"/>
                <wp:wrapNone/>
                <wp:docPr id="28" name="Conector recto 28"/>
                <wp:cNvGraphicFramePr/>
                <a:graphic xmlns:a="http://schemas.openxmlformats.org/drawingml/2006/main">
                  <a:graphicData uri="http://schemas.microsoft.com/office/word/2010/wordprocessingShape">
                    <wps:wsp>
                      <wps:cNvCnPr/>
                      <wps:spPr>
                        <a:xfrm>
                          <a:off x="0" y="0"/>
                          <a:ext cx="220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D397BA" id="Conector recto 28" o:spid="_x0000_s1026" style="position:absolute;z-index:25166028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122.05pt,.65pt" to="295.3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" strokecolor="black [3213]">
                <w10:wrap anchorx="margin"/>
              </v:line>
            </w:pict>
          </mc:Fallback>
        </mc:AlternateContent>
      </w:r>
      <w:r w:rsidRPr="00D25DB7">
        <w:rPr>
          <w:rFonts w:ascii="Arial" w:eastAsia="Times New Roman" w:hAnsi="Arial" w:cs="Arial"/>
          <w:noProof/>
          <w:color w:val="000000"/>
          <w:lang w:val="es-CO" w:eastAsia="es-CO"/>
        </w:rPr>
        <mc:AlternateContent>
          <mc:Choice Requires="wps">
            <w:drawing>
              <wp:anchor distT="0" distB="0" distL="114300" distR="114300" simplePos="0" relativeHeight="251659264" behindDoc="0" locked="0" layoutInCell="1" allowOverlap="1" wp14:anchorId="5503122C" wp14:editId="71DD1346">
                <wp:simplePos x="0" y="0"/>
                <wp:positionH relativeFrom="margin">
                  <wp:align>left</wp:align>
                </wp:positionH>
                <wp:positionV relativeFrom="paragraph">
                  <wp:posOffset>8255</wp:posOffset>
                </wp:positionV>
                <wp:extent cx="2200275" cy="0"/>
                <wp:effectExtent l="0" t="0" r="28575" b="19050"/>
                <wp:wrapNone/>
                <wp:docPr id="27" name="Conector recto 27"/>
                <wp:cNvGraphicFramePr/>
                <a:graphic xmlns:a="http://schemas.openxmlformats.org/drawingml/2006/main">
                  <a:graphicData uri="http://schemas.microsoft.com/office/word/2010/wordprocessingShape">
                    <wps:wsp>
                      <wps:cNvCnPr/>
                      <wps:spPr>
                        <a:xfrm>
                          <a:off x="0" y="0"/>
                          <a:ext cx="220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A28ECC" id="Conector recto 27" o:spid="_x0000_s1026" style="position:absolute;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65pt" to="17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" strokecolor="black [3213]">
                <w10:wrap anchorx="margin"/>
              </v:line>
            </w:pict>
          </mc:Fallback>
        </mc:AlternateContent>
      </w:r>
      <w:r>
        <w:rPr>
          <w:rFonts w:ascii="Arial" w:hAnsi="Arial" w:cs="Arial"/>
          <w:lang w:val="es-CO"/>
        </w:rPr>
        <w:t>H.R.</w:t>
      </w:r>
      <w:r>
        <w:rPr>
          <w:rFonts w:ascii="Arial" w:hAnsi="Arial" w:cs="Arial"/>
          <w:lang w:val="es-CO"/>
        </w:rPr>
        <w:tab/>
        <w:t>H.R.</w:t>
      </w:r>
    </w:p>
    <w:p w:rsidR="00825C2A" w:rsidRDefault="00D25DB7" w:rsidP="00074D1F">
      <w:pPr>
        <w:tabs>
          <w:tab w:val="left" w:pos="5340"/>
          <w:tab w:val="left" w:pos="7540"/>
        </w:tabs>
        <w:rPr>
          <w:rFonts w:ascii="Arial" w:hAnsi="Arial" w:cs="Arial"/>
          <w:lang w:val="es-CO"/>
        </w:rPr>
      </w:pPr>
      <w:r w:rsidRPr="00D25DB7">
        <w:rPr>
          <w:rFonts w:ascii="Arial" w:hAnsi="Arial" w:cs="Arial"/>
          <w:lang w:val="es-CO"/>
        </w:rPr>
        <w:t>Partido</w:t>
      </w:r>
      <w:r>
        <w:rPr>
          <w:rFonts w:ascii="Arial" w:hAnsi="Arial" w:cs="Arial"/>
          <w:lang w:val="es-CO"/>
        </w:rPr>
        <w:tab/>
        <w:t>Partido</w:t>
      </w:r>
      <w:r w:rsidR="00074D1F">
        <w:rPr>
          <w:rFonts w:ascii="Arial" w:hAnsi="Arial" w:cs="Arial"/>
          <w:lang w:val="es-CO"/>
        </w:rPr>
        <w:tab/>
      </w:r>
    </w:p>
    <w:p w:rsidR="00E249B7" w:rsidRDefault="00E249B7" w:rsidP="00074D1F">
      <w:pPr>
        <w:tabs>
          <w:tab w:val="left" w:pos="5340"/>
          <w:tab w:val="left" w:pos="7540"/>
        </w:tabs>
        <w:rPr>
          <w:rFonts w:ascii="Arial" w:hAnsi="Arial" w:cs="Arial"/>
          <w:lang w:val="es-CO"/>
        </w:rPr>
      </w:pPr>
    </w:p>
    <w:p w:rsidR="00E249B7" w:rsidRDefault="00E249B7" w:rsidP="00074D1F">
      <w:pPr>
        <w:tabs>
          <w:tab w:val="left" w:pos="5340"/>
          <w:tab w:val="left" w:pos="7540"/>
        </w:tabs>
        <w:rPr>
          <w:rFonts w:ascii="Arial" w:hAnsi="Arial" w:cs="Arial"/>
          <w:lang w:val="es-CO"/>
        </w:rPr>
      </w:pPr>
    </w:p>
    <w:p w:rsidR="00E249B7" w:rsidRDefault="00E249B7" w:rsidP="00074D1F">
      <w:pPr>
        <w:tabs>
          <w:tab w:val="left" w:pos="5340"/>
          <w:tab w:val="left" w:pos="7540"/>
        </w:tabs>
        <w:rPr>
          <w:rFonts w:ascii="Arial" w:hAnsi="Arial" w:cs="Arial"/>
          <w:lang w:val="es-CO"/>
        </w:rPr>
      </w:pPr>
    </w:p>
    <w:p w:rsidR="00E249B7" w:rsidRDefault="00E249B7" w:rsidP="00074D1F">
      <w:pPr>
        <w:tabs>
          <w:tab w:val="left" w:pos="5340"/>
          <w:tab w:val="left" w:pos="7540"/>
        </w:tabs>
        <w:rPr>
          <w:rFonts w:ascii="Arial" w:hAnsi="Arial" w:cs="Arial"/>
          <w:lang w:val="es-CO"/>
        </w:rPr>
      </w:pPr>
    </w:p>
    <w:p w:rsidR="00E249B7" w:rsidRDefault="00E249B7" w:rsidP="00E249B7">
      <w:pPr>
        <w:pStyle w:val="Textoindependiente"/>
        <w:rPr>
          <w:rFonts w:ascii="Times New Roman"/>
          <w:sz w:val="20"/>
        </w:rPr>
      </w:pPr>
    </w:p>
    <w:p w:rsidR="00E249B7" w:rsidRDefault="00E249B7" w:rsidP="00E249B7">
      <w:pPr>
        <w:pStyle w:val="Textoindependiente"/>
        <w:rPr>
          <w:rFonts w:ascii="Times New Roman"/>
          <w:sz w:val="20"/>
        </w:rPr>
      </w:pPr>
    </w:p>
    <w:p w:rsidR="00E249B7" w:rsidRDefault="00E249B7" w:rsidP="00E249B7">
      <w:pPr>
        <w:pStyle w:val="Textoindependiente"/>
        <w:rPr>
          <w:rFonts w:ascii="Times New Roman"/>
          <w:sz w:val="20"/>
        </w:rPr>
      </w:pPr>
    </w:p>
    <w:p w:rsidR="00E249B7" w:rsidRDefault="00E249B7" w:rsidP="00E249B7">
      <w:pPr>
        <w:pStyle w:val="Textoindependiente"/>
        <w:rPr>
          <w:rFonts w:ascii="Times New Roman"/>
          <w:sz w:val="20"/>
        </w:rPr>
      </w:pPr>
    </w:p>
    <w:p w:rsidR="00E249B7" w:rsidRDefault="00E249B7" w:rsidP="00E249B7">
      <w:pPr>
        <w:pStyle w:val="Textoindependiente"/>
        <w:spacing w:before="2"/>
        <w:rPr>
          <w:rFonts w:ascii="Times New Roman"/>
        </w:rPr>
      </w:pPr>
    </w:p>
    <w:p w:rsidR="00E249B7" w:rsidRPr="00D9690A" w:rsidRDefault="00E249B7" w:rsidP="00E249B7">
      <w:pPr>
        <w:pStyle w:val="Ttulo1"/>
        <w:spacing w:before="92"/>
        <w:ind w:left="2980"/>
        <w:rPr>
          <w:lang w:val="es-CO"/>
        </w:rPr>
      </w:pPr>
      <w:r w:rsidRPr="00D9690A">
        <w:rPr>
          <w:lang w:val="es-CO"/>
        </w:rPr>
        <w:t>EXPOSICIÓN DE MOTIVOS</w:t>
      </w:r>
    </w:p>
    <w:p w:rsidR="00E249B7" w:rsidRPr="00D9690A" w:rsidRDefault="00E249B7" w:rsidP="00E249B7">
      <w:pPr>
        <w:pStyle w:val="Textoindependiente"/>
        <w:tabs>
          <w:tab w:val="left" w:pos="5239"/>
        </w:tabs>
        <w:spacing w:before="4"/>
        <w:ind w:left="1940"/>
        <w:rPr>
          <w:lang w:val="es-CO"/>
        </w:rPr>
      </w:pPr>
      <w:r w:rsidRPr="00D9690A">
        <w:rPr>
          <w:lang w:val="es-CO"/>
        </w:rPr>
        <w:t>PROYECTO DE</w:t>
      </w:r>
      <w:r w:rsidRPr="00D9690A">
        <w:rPr>
          <w:spacing w:val="-3"/>
          <w:lang w:val="es-CO"/>
        </w:rPr>
        <w:t xml:space="preserve"> </w:t>
      </w:r>
      <w:r w:rsidRPr="00D9690A">
        <w:rPr>
          <w:lang w:val="es-CO"/>
        </w:rPr>
        <w:t>LEY</w:t>
      </w:r>
      <w:r w:rsidRPr="00D9690A">
        <w:rPr>
          <w:spacing w:val="-6"/>
          <w:lang w:val="es-CO"/>
        </w:rPr>
        <w:t xml:space="preserve"> </w:t>
      </w:r>
      <w:r w:rsidRPr="00D9690A">
        <w:rPr>
          <w:lang w:val="es-CO"/>
        </w:rPr>
        <w:t>No.</w:t>
      </w:r>
      <w:r w:rsidRPr="00D9690A">
        <w:rPr>
          <w:u w:val="single"/>
          <w:lang w:val="es-CO"/>
        </w:rPr>
        <w:t xml:space="preserve"> </w:t>
      </w:r>
      <w:r w:rsidRPr="00D9690A">
        <w:rPr>
          <w:u w:val="single"/>
          <w:lang w:val="es-CO"/>
        </w:rPr>
        <w:tab/>
      </w:r>
      <w:r w:rsidRPr="00D9690A">
        <w:rPr>
          <w:lang w:val="es-CO"/>
        </w:rPr>
        <w:t>de 2018 Cámara</w:t>
      </w:r>
    </w:p>
    <w:p w:rsidR="00E249B7" w:rsidRPr="00D9690A" w:rsidRDefault="00E249B7" w:rsidP="00E249B7">
      <w:pPr>
        <w:pStyle w:val="Textoindependiente"/>
        <w:rPr>
          <w:sz w:val="26"/>
          <w:lang w:val="es-CO"/>
        </w:rPr>
      </w:pPr>
    </w:p>
    <w:p w:rsidR="00E249B7" w:rsidRPr="00D9690A" w:rsidRDefault="00E249B7" w:rsidP="00E249B7">
      <w:pPr>
        <w:pStyle w:val="Textoindependiente"/>
        <w:spacing w:before="1"/>
        <w:rPr>
          <w:sz w:val="23"/>
          <w:lang w:val="es-CO"/>
        </w:rPr>
      </w:pPr>
    </w:p>
    <w:p w:rsidR="00E249B7" w:rsidRPr="00D9690A" w:rsidRDefault="00E249B7" w:rsidP="00E249B7">
      <w:pPr>
        <w:spacing w:line="242" w:lineRule="auto"/>
        <w:ind w:left="340" w:right="375"/>
        <w:jc w:val="center"/>
        <w:rPr>
          <w:b/>
          <w:lang w:val="es-CO"/>
        </w:rPr>
      </w:pPr>
      <w:r w:rsidRPr="00D9690A">
        <w:rPr>
          <w:b/>
          <w:i/>
          <w:lang w:val="es-CO"/>
        </w:rPr>
        <w:t>"Por medio de la cual se adoptan normas de Pago en Plazos Justos en el ámbito mercantil y se dictan otras disposiciones en materia de pago y facturación</w:t>
      </w:r>
      <w:r w:rsidRPr="00D9690A">
        <w:rPr>
          <w:b/>
          <w:lang w:val="es-CO"/>
        </w:rPr>
        <w:t>”</w:t>
      </w:r>
    </w:p>
    <w:p w:rsidR="00E249B7" w:rsidRPr="00D9690A" w:rsidRDefault="00E249B7" w:rsidP="00E249B7">
      <w:pPr>
        <w:pStyle w:val="Textoindependiente"/>
        <w:rPr>
          <w:b/>
          <w:sz w:val="26"/>
          <w:lang w:val="es-CO"/>
        </w:rPr>
      </w:pPr>
    </w:p>
    <w:p w:rsidR="00E249B7" w:rsidRPr="00D9690A" w:rsidRDefault="00E249B7" w:rsidP="00E249B7">
      <w:pPr>
        <w:pStyle w:val="Textoindependiente"/>
        <w:rPr>
          <w:b/>
          <w:sz w:val="26"/>
          <w:lang w:val="es-CO"/>
        </w:rPr>
      </w:pPr>
    </w:p>
    <w:p w:rsidR="00E249B7" w:rsidRPr="00D9690A" w:rsidRDefault="00E249B7" w:rsidP="00E249B7">
      <w:pPr>
        <w:pStyle w:val="Textoindependiente"/>
        <w:spacing w:before="4"/>
        <w:rPr>
          <w:b/>
          <w:sz w:val="21"/>
          <w:lang w:val="es-CO"/>
        </w:rPr>
      </w:pPr>
    </w:p>
    <w:p w:rsidR="00E249B7" w:rsidRPr="00D9690A" w:rsidRDefault="00E249B7" w:rsidP="00E249B7">
      <w:pPr>
        <w:pStyle w:val="Ttulo1"/>
        <w:keepNext w:val="0"/>
        <w:keepLines w:val="0"/>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19"/>
          <w:tab w:val="left" w:pos="820"/>
        </w:tabs>
        <w:autoSpaceDE w:val="0"/>
        <w:autoSpaceDN w:val="0"/>
        <w:spacing w:before="0"/>
        <w:rPr>
          <w:lang w:val="es-CO"/>
        </w:rPr>
      </w:pPr>
      <w:r w:rsidRPr="00D9690A">
        <w:rPr>
          <w:lang w:val="es-CO"/>
        </w:rPr>
        <w:lastRenderedPageBreak/>
        <w:t>GENERALIDADES</w:t>
      </w:r>
    </w:p>
    <w:p w:rsidR="00E249B7" w:rsidRPr="00D9690A" w:rsidRDefault="00E249B7" w:rsidP="00E249B7">
      <w:pPr>
        <w:pStyle w:val="Textoindependiente"/>
        <w:rPr>
          <w:b/>
          <w:sz w:val="26"/>
          <w:lang w:val="es-CO"/>
        </w:rPr>
      </w:pPr>
    </w:p>
    <w:p w:rsidR="00E249B7" w:rsidRPr="00D9690A" w:rsidRDefault="00E249B7" w:rsidP="00E249B7">
      <w:pPr>
        <w:pStyle w:val="Textoindependiente"/>
        <w:rPr>
          <w:b/>
          <w:sz w:val="26"/>
          <w:lang w:val="es-CO"/>
        </w:rPr>
      </w:pPr>
    </w:p>
    <w:p w:rsidR="00E249B7" w:rsidRPr="00D9690A" w:rsidRDefault="00E249B7" w:rsidP="00E249B7">
      <w:pPr>
        <w:pStyle w:val="Textoindependiente"/>
        <w:spacing w:before="5"/>
        <w:rPr>
          <w:b/>
          <w:sz w:val="21"/>
          <w:lang w:val="es-CO"/>
        </w:rPr>
      </w:pPr>
    </w:p>
    <w:p w:rsidR="00E249B7" w:rsidRPr="00D9690A" w:rsidRDefault="00E249B7" w:rsidP="00E249B7">
      <w:pPr>
        <w:pStyle w:val="Textoindependiente"/>
        <w:spacing w:line="242" w:lineRule="auto"/>
        <w:ind w:left="100" w:right="119"/>
        <w:jc w:val="both"/>
        <w:rPr>
          <w:lang w:val="es-CO"/>
        </w:rPr>
      </w:pPr>
      <w:r w:rsidRPr="00D9690A">
        <w:rPr>
          <w:lang w:val="es-CO"/>
        </w:rPr>
        <w:t>El presente proyecto de ley “</w:t>
      </w:r>
      <w:r w:rsidRPr="00D9690A">
        <w:rPr>
          <w:i/>
          <w:lang w:val="es-CO"/>
        </w:rPr>
        <w:t>por medio del cual se adoptan normas de Pago en Plazos Justos en el ámbito mercantil</w:t>
      </w:r>
      <w:r w:rsidRPr="00D9690A">
        <w:rPr>
          <w:lang w:val="es-CO"/>
        </w:rPr>
        <w:t>” es una propuesta para solucionar un problema ampliamente identificado en la realidad comercial del país: un alto porcentaje de empresas de gran tamaño realiza los pagos a sus proveedores y subcontratistas (usualmente mipymes) en plazos injustificadamente extensos de entre noventa (90) y hasta ciento ochenta (180) días, sin justificación de ningún tipo.</w:t>
      </w:r>
    </w:p>
    <w:p w:rsidR="00E249B7" w:rsidRPr="00D9690A" w:rsidRDefault="00E249B7" w:rsidP="00E249B7">
      <w:pPr>
        <w:pStyle w:val="Textoindependiente"/>
        <w:spacing w:before="1"/>
        <w:rPr>
          <w:sz w:val="25"/>
          <w:lang w:val="es-CO"/>
        </w:rPr>
      </w:pPr>
    </w:p>
    <w:p w:rsidR="00E249B7" w:rsidRPr="00D9690A" w:rsidRDefault="00E249B7" w:rsidP="00E249B7">
      <w:pPr>
        <w:pStyle w:val="Textoindependiente"/>
        <w:spacing w:line="242" w:lineRule="auto"/>
        <w:ind w:left="100" w:right="119"/>
        <w:jc w:val="both"/>
        <w:rPr>
          <w:lang w:val="es-CO"/>
        </w:rPr>
      </w:pPr>
      <w:r w:rsidRPr="00D9690A">
        <w:rPr>
          <w:lang w:val="es-CO"/>
        </w:rPr>
        <w:t>Estos plazos se incorporan en los contratos modelo o tipo que utilizan las grandes empresas para contratación en general (en una manifestación clara de su posición dominante) en negociaciones que se asimilan a los contratos por adhesión, es decir, los proveedores (muchas veces mipymes y emprendedores) que quieran contratar con las grandes empresas deben aceptar los términos contractuales redactados unilateralmente por las grandes empresas, donde se incluyen estos plazos desmesurados para realizar el pago de obligaciones ya ejecutadas.</w:t>
      </w:r>
    </w:p>
    <w:p w:rsidR="00E249B7" w:rsidRPr="00D9690A" w:rsidRDefault="00E249B7" w:rsidP="00E249B7">
      <w:pPr>
        <w:pStyle w:val="Textoindependiente"/>
        <w:spacing w:before="1"/>
        <w:rPr>
          <w:sz w:val="25"/>
          <w:lang w:val="es-CO"/>
        </w:rPr>
      </w:pPr>
    </w:p>
    <w:p w:rsidR="00E249B7" w:rsidRPr="00D9690A" w:rsidRDefault="00E249B7" w:rsidP="00E249B7">
      <w:pPr>
        <w:pStyle w:val="Textoindependiente"/>
        <w:spacing w:before="1" w:line="242" w:lineRule="auto"/>
        <w:ind w:left="100" w:right="119"/>
        <w:jc w:val="both"/>
        <w:rPr>
          <w:lang w:val="es-CO"/>
        </w:rPr>
      </w:pPr>
      <w:r w:rsidRPr="00D9690A">
        <w:rPr>
          <w:lang w:val="es-CO"/>
        </w:rPr>
        <w:t>No hay justificaciones, ni financieras ni económicas, que soporten la necesidad de estos plazos extensos, y por el contrario, como explicaremos en esta Exposición</w:t>
      </w:r>
    </w:p>
    <w:p w:rsidR="00E249B7" w:rsidRPr="00D9690A" w:rsidRDefault="00E249B7" w:rsidP="00E249B7">
      <w:pPr>
        <w:spacing w:line="242" w:lineRule="auto"/>
        <w:jc w:val="both"/>
        <w:rPr>
          <w:lang w:val="es-CO"/>
        </w:rPr>
        <w:sectPr w:rsidR="00E249B7" w:rsidRPr="00D9690A" w:rsidSect="00E249B7">
          <w:headerReference w:type="default" r:id="rId7"/>
          <w:footerReference w:type="default" r:id="rId8"/>
          <w:pgSz w:w="12240" w:h="15840"/>
          <w:pgMar w:top="2860" w:right="1580" w:bottom="1680" w:left="1600" w:header="708" w:footer="1488" w:gutter="0"/>
          <w:cols w:space="720"/>
        </w:sectPr>
      </w:pPr>
    </w:p>
    <w:p w:rsidR="00E249B7" w:rsidRPr="00D9690A" w:rsidRDefault="00E249B7" w:rsidP="00E249B7">
      <w:pPr>
        <w:pStyle w:val="Textoindependiente"/>
        <w:rPr>
          <w:sz w:val="20"/>
          <w:lang w:val="es-CO"/>
        </w:rPr>
      </w:pPr>
    </w:p>
    <w:p w:rsidR="00E249B7" w:rsidRPr="00D9690A" w:rsidRDefault="00E249B7" w:rsidP="00E249B7">
      <w:pPr>
        <w:pStyle w:val="Textoindependiente"/>
        <w:spacing w:before="220" w:line="242" w:lineRule="auto"/>
        <w:ind w:left="100" w:right="119"/>
        <w:jc w:val="both"/>
        <w:rPr>
          <w:lang w:val="es-CO"/>
        </w:rPr>
      </w:pPr>
      <w:r w:rsidRPr="00D9690A">
        <w:rPr>
          <w:lang w:val="es-CO"/>
        </w:rPr>
        <w:t>de Motivos, se está generando una carga gravosa a los pequeños y medianos empresarios, conllevando a una tasa alarmantemente alta de mortalidad.</w:t>
      </w:r>
    </w:p>
    <w:p w:rsidR="00E249B7" w:rsidRPr="00D9690A" w:rsidRDefault="00E249B7" w:rsidP="00E249B7">
      <w:pPr>
        <w:pStyle w:val="Textoindependiente"/>
        <w:spacing w:before="7"/>
        <w:rPr>
          <w:lang w:val="es-CO"/>
        </w:rPr>
      </w:pPr>
    </w:p>
    <w:p w:rsidR="00E249B7" w:rsidRPr="00D9690A" w:rsidRDefault="00E249B7" w:rsidP="00E249B7">
      <w:pPr>
        <w:pStyle w:val="Textoindependiente"/>
        <w:spacing w:line="242" w:lineRule="auto"/>
        <w:ind w:left="100" w:right="119"/>
        <w:jc w:val="both"/>
        <w:rPr>
          <w:lang w:val="es-CO"/>
        </w:rPr>
      </w:pPr>
      <w:r w:rsidRPr="00D9690A">
        <w:rPr>
          <w:lang w:val="es-CO"/>
        </w:rPr>
        <w:t>Es necesario que por medio de esta ley, equilibremos las condiciones de pago que se han vuelto abusivas en una relación comercial que claramente no es equitativa.</w:t>
      </w:r>
    </w:p>
    <w:p w:rsidR="00E249B7" w:rsidRPr="00D9690A" w:rsidRDefault="00E249B7" w:rsidP="00E249B7">
      <w:pPr>
        <w:pStyle w:val="Textoindependiente"/>
        <w:rPr>
          <w:sz w:val="26"/>
          <w:lang w:val="es-CO"/>
        </w:rPr>
      </w:pPr>
    </w:p>
    <w:p w:rsidR="00E249B7" w:rsidRPr="00D9690A" w:rsidRDefault="00E249B7" w:rsidP="00E249B7">
      <w:pPr>
        <w:pStyle w:val="Textoindependiente"/>
        <w:spacing w:before="10"/>
        <w:rPr>
          <w:sz w:val="22"/>
          <w:lang w:val="es-CO"/>
        </w:rPr>
      </w:pPr>
    </w:p>
    <w:p w:rsidR="00E249B7" w:rsidRPr="00D9690A" w:rsidRDefault="00E249B7" w:rsidP="00E249B7">
      <w:pPr>
        <w:pStyle w:val="Ttulo1"/>
        <w:keepNext w:val="0"/>
        <w:keepLines w:val="0"/>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19"/>
          <w:tab w:val="left" w:pos="820"/>
        </w:tabs>
        <w:autoSpaceDE w:val="0"/>
        <w:autoSpaceDN w:val="0"/>
        <w:spacing w:before="0"/>
        <w:rPr>
          <w:lang w:val="es-CO"/>
        </w:rPr>
      </w:pPr>
      <w:r w:rsidRPr="00D9690A">
        <w:rPr>
          <w:lang w:val="es-CO"/>
        </w:rPr>
        <w:t>JUSTIFICACIÓN</w:t>
      </w:r>
      <w:r w:rsidRPr="00D9690A">
        <w:rPr>
          <w:spacing w:val="-1"/>
          <w:lang w:val="es-CO"/>
        </w:rPr>
        <w:t xml:space="preserve"> </w:t>
      </w:r>
      <w:r w:rsidRPr="00D9690A">
        <w:rPr>
          <w:lang w:val="es-CO"/>
        </w:rPr>
        <w:t>ECONÓMICA</w:t>
      </w:r>
    </w:p>
    <w:p w:rsidR="00E249B7" w:rsidRPr="00D9690A" w:rsidRDefault="00E249B7" w:rsidP="00E249B7">
      <w:pPr>
        <w:pStyle w:val="Textoindependiente"/>
        <w:rPr>
          <w:b/>
          <w:sz w:val="26"/>
          <w:lang w:val="es-CO"/>
        </w:rPr>
      </w:pPr>
    </w:p>
    <w:p w:rsidR="00E249B7" w:rsidRPr="00D9690A" w:rsidRDefault="00E249B7" w:rsidP="00E249B7">
      <w:pPr>
        <w:pStyle w:val="Textoindependiente"/>
        <w:spacing w:before="1"/>
        <w:rPr>
          <w:b/>
          <w:sz w:val="23"/>
          <w:lang w:val="es-CO"/>
        </w:rPr>
      </w:pPr>
    </w:p>
    <w:p w:rsidR="00E249B7" w:rsidRPr="00D9690A" w:rsidRDefault="00E249B7" w:rsidP="00E249B7">
      <w:pPr>
        <w:pStyle w:val="Textoindependiente"/>
        <w:spacing w:line="242" w:lineRule="auto"/>
        <w:ind w:left="100" w:right="118"/>
        <w:jc w:val="both"/>
        <w:rPr>
          <w:lang w:val="es-CO"/>
        </w:rPr>
      </w:pPr>
      <w:r w:rsidRPr="00D9690A">
        <w:rPr>
          <w:lang w:val="es-CO"/>
        </w:rPr>
        <w:t>El crecimiento de las empresas depende de dos tipos de determinantes específicos. El primero involucra las variables relacionadas con la empresa y el segundo depende del entorno de firma y de donde realiza sus operaciones.</w:t>
      </w:r>
      <w:r>
        <w:rPr>
          <w:rStyle w:val="Refdenotaalpie"/>
          <w:lang w:val="es-CO"/>
        </w:rPr>
        <w:footnoteReference w:id="1"/>
      </w:r>
    </w:p>
    <w:p w:rsidR="00E249B7" w:rsidRPr="00D9690A" w:rsidRDefault="00E249B7" w:rsidP="00E249B7">
      <w:pPr>
        <w:pStyle w:val="Textoindependiente"/>
        <w:spacing w:before="7"/>
        <w:rPr>
          <w:lang w:val="es-CO"/>
        </w:rPr>
      </w:pPr>
    </w:p>
    <w:p w:rsidR="00E249B7" w:rsidRPr="00D9690A" w:rsidRDefault="00E249B7" w:rsidP="00E249B7">
      <w:pPr>
        <w:pStyle w:val="Textoindependiente"/>
        <w:spacing w:before="1" w:line="242" w:lineRule="auto"/>
        <w:ind w:left="100" w:right="119"/>
        <w:jc w:val="both"/>
        <w:rPr>
          <w:lang w:val="es-CO"/>
        </w:rPr>
      </w:pPr>
      <w:r w:rsidRPr="00D9690A">
        <w:rPr>
          <w:lang w:val="es-CO"/>
        </w:rPr>
        <w:t>Este proyecto de ley soluciona uno de los problemas que se presentan en el entorno, que afecta la rentabilidad y el acceso a financiamiento de las empresas.</w:t>
      </w:r>
    </w:p>
    <w:p w:rsidR="00E249B7" w:rsidRPr="00D9690A" w:rsidRDefault="00E249B7" w:rsidP="00E249B7">
      <w:pPr>
        <w:pStyle w:val="Textoindependiente"/>
        <w:spacing w:before="6"/>
        <w:rPr>
          <w:lang w:val="es-CO"/>
        </w:rPr>
      </w:pPr>
    </w:p>
    <w:p w:rsidR="00E249B7" w:rsidRPr="00D9690A" w:rsidRDefault="00E249B7" w:rsidP="00E249B7">
      <w:pPr>
        <w:pStyle w:val="Textoindependiente"/>
        <w:spacing w:line="242" w:lineRule="auto"/>
        <w:ind w:left="100" w:right="119"/>
        <w:jc w:val="both"/>
        <w:rPr>
          <w:lang w:val="es-CO"/>
        </w:rPr>
      </w:pPr>
      <w:r w:rsidRPr="00D9690A">
        <w:rPr>
          <w:lang w:val="es-CO"/>
        </w:rPr>
        <w:t>Según el Reporte de Actividad Empresarial 2016 del Monitor de Emprendimiento Global (GEM), las principales razones que motivaron a los empresarios a vender, cerrar o abandonar su iniciativa empresarial, fueron en un 33% por bajos niveles de rentabilidad, un 22% por motivos personales y un 18% por problemas</w:t>
      </w:r>
      <w:r w:rsidRPr="00D9690A">
        <w:rPr>
          <w:spacing w:val="30"/>
          <w:lang w:val="es-CO"/>
        </w:rPr>
        <w:t xml:space="preserve"> </w:t>
      </w:r>
      <w:r w:rsidRPr="00D9690A">
        <w:rPr>
          <w:lang w:val="es-CO"/>
        </w:rPr>
        <w:t>de financiación, lo que implica que un 48% de los casos se debe a motivos relacionados que impactan directamente o son causa de las finanzas, que se explican por bajos niveles de ventas, altos costos de operación, altos</w:t>
      </w:r>
      <w:r w:rsidRPr="00D9690A">
        <w:rPr>
          <w:spacing w:val="42"/>
          <w:lang w:val="es-CO"/>
        </w:rPr>
        <w:t xml:space="preserve"> </w:t>
      </w:r>
      <w:r w:rsidRPr="00D9690A">
        <w:rPr>
          <w:lang w:val="es-CO"/>
        </w:rPr>
        <w:t>gastos administrativos y financieros y/o altos niveles de</w:t>
      </w:r>
      <w:r w:rsidRPr="00D9690A">
        <w:rPr>
          <w:spacing w:val="-1"/>
          <w:lang w:val="es-CO"/>
        </w:rPr>
        <w:t xml:space="preserve"> </w:t>
      </w:r>
      <w:r w:rsidRPr="00D9690A">
        <w:rPr>
          <w:lang w:val="es-CO"/>
        </w:rPr>
        <w:t>tributación.</w:t>
      </w:r>
    </w:p>
    <w:p w:rsidR="00E249B7" w:rsidRPr="00D9690A" w:rsidRDefault="00E249B7" w:rsidP="00E249B7">
      <w:pPr>
        <w:pStyle w:val="Textoindependiente"/>
        <w:spacing w:before="3"/>
        <w:rPr>
          <w:sz w:val="25"/>
          <w:lang w:val="es-CO"/>
        </w:rPr>
      </w:pPr>
    </w:p>
    <w:p w:rsidR="00E249B7" w:rsidRPr="00D9690A" w:rsidRDefault="00E249B7" w:rsidP="00E249B7">
      <w:pPr>
        <w:pStyle w:val="Textoindependiente"/>
        <w:spacing w:line="242" w:lineRule="auto"/>
        <w:ind w:left="100" w:right="119"/>
        <w:jc w:val="both"/>
        <w:rPr>
          <w:lang w:val="es-CO"/>
        </w:rPr>
      </w:pPr>
      <w:r w:rsidRPr="00D9690A">
        <w:rPr>
          <w:lang w:val="es-CO"/>
        </w:rPr>
        <w:t>Los altos costos financieros se presentan por los intereses que deben pagar las empresas al recurrir a servicios financieros como el factoring y los créditos para obtener liquidez con el fin de financiar la propia operación y el pago del IVA.</w:t>
      </w:r>
    </w:p>
    <w:p w:rsidR="00E249B7" w:rsidRPr="00D9690A" w:rsidRDefault="00E249B7" w:rsidP="00E249B7">
      <w:pPr>
        <w:pStyle w:val="Textoindependiente"/>
        <w:spacing w:before="7"/>
        <w:rPr>
          <w:lang w:val="es-CO"/>
        </w:rPr>
      </w:pPr>
    </w:p>
    <w:p w:rsidR="00E249B7" w:rsidRPr="00D9690A" w:rsidRDefault="00E249B7" w:rsidP="00E249B7">
      <w:pPr>
        <w:pStyle w:val="Textoindependiente"/>
        <w:spacing w:before="1" w:line="242" w:lineRule="auto"/>
        <w:ind w:left="100" w:right="119"/>
        <w:jc w:val="both"/>
        <w:rPr>
          <w:lang w:val="es-CO"/>
        </w:rPr>
      </w:pPr>
      <w:r w:rsidRPr="00D9690A">
        <w:rPr>
          <w:lang w:val="es-CO"/>
        </w:rPr>
        <w:t>A su vez, la capacidad de endeudamiento para innovación de las empresas disminuye, ya que se usa el cupo de endeudamiento global para soportar la operación, para pagar el IVA y otros tributos. Costos y gastos que deberían estar cubiertos por el capital de trabajo.</w:t>
      </w:r>
    </w:p>
    <w:p w:rsidR="00E249B7" w:rsidRPr="00D9690A" w:rsidRDefault="00E249B7" w:rsidP="00E249B7">
      <w:pPr>
        <w:spacing w:line="242" w:lineRule="auto"/>
        <w:jc w:val="both"/>
        <w:rPr>
          <w:lang w:val="es-CO"/>
        </w:rPr>
        <w:sectPr w:rsidR="00E249B7" w:rsidRPr="00D9690A">
          <w:pgSz w:w="12240" w:h="15840"/>
          <w:pgMar w:top="2860" w:right="1580" w:bottom="1680" w:left="1600" w:header="708" w:footer="1488" w:gutter="0"/>
          <w:cols w:space="720"/>
        </w:sectPr>
      </w:pPr>
    </w:p>
    <w:p w:rsidR="00E249B7" w:rsidRPr="00D9690A" w:rsidRDefault="00E249B7" w:rsidP="00E249B7">
      <w:pPr>
        <w:pStyle w:val="Textoindependiente"/>
        <w:rPr>
          <w:sz w:val="20"/>
          <w:lang w:val="es-CO"/>
        </w:rPr>
      </w:pPr>
    </w:p>
    <w:p w:rsidR="00E249B7" w:rsidRPr="00D9690A" w:rsidRDefault="00E249B7" w:rsidP="00E249B7">
      <w:pPr>
        <w:pStyle w:val="Textoindependiente"/>
        <w:rPr>
          <w:sz w:val="20"/>
          <w:lang w:val="es-CO"/>
        </w:rPr>
      </w:pPr>
    </w:p>
    <w:p w:rsidR="00E249B7" w:rsidRPr="00D9690A" w:rsidRDefault="00E249B7" w:rsidP="00E249B7">
      <w:pPr>
        <w:pStyle w:val="Textoindependiente"/>
        <w:spacing w:before="6"/>
        <w:rPr>
          <w:sz w:val="23"/>
          <w:lang w:val="es-CO"/>
        </w:rPr>
      </w:pPr>
    </w:p>
    <w:p w:rsidR="00E249B7" w:rsidRPr="00D9690A" w:rsidRDefault="00E249B7" w:rsidP="00E249B7">
      <w:pPr>
        <w:pStyle w:val="Textoindependiente"/>
        <w:spacing w:line="242" w:lineRule="auto"/>
        <w:ind w:left="100" w:right="119"/>
        <w:jc w:val="both"/>
        <w:rPr>
          <w:lang w:val="es-CO"/>
        </w:rPr>
      </w:pPr>
      <w:r w:rsidRPr="00D9690A">
        <w:rPr>
          <w:lang w:val="es-CO"/>
        </w:rPr>
        <w:t xml:space="preserve">Según el estudio de ACOPI 2017 titulado “Simplificación normativa y políticas diferenciales para Pymes” las grandes empresas pagan a 60 y 90 días, y dado que el pago del </w:t>
      </w:r>
      <w:r w:rsidRPr="00D9690A">
        <w:rPr>
          <w:spacing w:val="-6"/>
          <w:lang w:val="es-CO"/>
        </w:rPr>
        <w:t xml:space="preserve">IVA </w:t>
      </w:r>
      <w:r w:rsidRPr="00D9690A">
        <w:rPr>
          <w:lang w:val="es-CO"/>
        </w:rPr>
        <w:t>se debe hacer cada cuatrimestre, y el hecho generador de este tributo es la expedición de la factura y no la liquidación de la misma, implica que las empresas deben recurrir a financiación externa para pagar el impuesto. Por esto es necesario modificar el Estatuto Tributario para que el momento de la causación del impuesto sea en la liquidación de la factura y no en su</w:t>
      </w:r>
      <w:r w:rsidRPr="00D9690A">
        <w:rPr>
          <w:spacing w:val="-2"/>
          <w:lang w:val="es-CO"/>
        </w:rPr>
        <w:t xml:space="preserve"> </w:t>
      </w:r>
      <w:r w:rsidRPr="00D9690A">
        <w:rPr>
          <w:lang w:val="es-CO"/>
        </w:rPr>
        <w:t>emisión.</w:t>
      </w:r>
    </w:p>
    <w:p w:rsidR="00E249B7" w:rsidRPr="00D9690A" w:rsidRDefault="00E249B7" w:rsidP="00E249B7">
      <w:pPr>
        <w:pStyle w:val="Textoindependiente"/>
        <w:rPr>
          <w:sz w:val="26"/>
          <w:lang w:val="es-CO"/>
        </w:rPr>
      </w:pPr>
    </w:p>
    <w:p w:rsidR="00E249B7" w:rsidRPr="00D9690A" w:rsidRDefault="00E249B7" w:rsidP="00E249B7">
      <w:pPr>
        <w:pStyle w:val="Textoindependiente"/>
        <w:spacing w:before="5"/>
        <w:rPr>
          <w:sz w:val="23"/>
          <w:lang w:val="es-CO"/>
        </w:rPr>
      </w:pPr>
    </w:p>
    <w:p w:rsidR="00E249B7" w:rsidRPr="00D9690A" w:rsidRDefault="00E249B7" w:rsidP="00E249B7">
      <w:pPr>
        <w:pStyle w:val="Textoindependiente"/>
        <w:spacing w:line="242" w:lineRule="auto"/>
        <w:ind w:left="100" w:right="119"/>
        <w:jc w:val="both"/>
        <w:rPr>
          <w:lang w:val="es-CO"/>
        </w:rPr>
      </w:pPr>
      <w:r w:rsidRPr="00D9690A">
        <w:rPr>
          <w:lang w:val="es-CO"/>
        </w:rPr>
        <w:t>En estos dos casos se evidencian las causas por las que el 48% (baja rentabilidad y falta de acceso a financiación) de las empresas cierran. Estos dos casos, afectan la rentabilidad y generan problemas de financiación mencionados por el GEM.</w:t>
      </w:r>
    </w:p>
    <w:p w:rsidR="00E249B7" w:rsidRPr="00D9690A" w:rsidRDefault="00E249B7" w:rsidP="00E249B7">
      <w:pPr>
        <w:pStyle w:val="Textoindependiente"/>
        <w:spacing w:before="9"/>
        <w:rPr>
          <w:lang w:val="es-CO"/>
        </w:rPr>
      </w:pPr>
    </w:p>
    <w:p w:rsidR="00E249B7" w:rsidRPr="00D9690A" w:rsidRDefault="00E249B7" w:rsidP="00E249B7">
      <w:pPr>
        <w:pStyle w:val="Textoindependiente"/>
        <w:spacing w:line="242" w:lineRule="auto"/>
        <w:ind w:left="100" w:right="119"/>
        <w:jc w:val="both"/>
        <w:rPr>
          <w:lang w:val="es-CO"/>
        </w:rPr>
      </w:pPr>
      <w:r w:rsidRPr="00D9690A">
        <w:rPr>
          <w:lang w:val="es-CO"/>
        </w:rPr>
        <w:t>La posición dominante de los grandes contribuyentes, que según ACOPI representan el 50% de los clientes de las PYMES, les permite apalancar su operación con recursos de estas últimas, ya que según el mismo estudio, el 60% de los clientes que son grandes contribuyentes, pagan sus facturas en un plazo de entre 60 y 90 días.</w:t>
      </w:r>
    </w:p>
    <w:p w:rsidR="00E249B7" w:rsidRPr="00D9690A" w:rsidRDefault="00E249B7" w:rsidP="00E249B7">
      <w:pPr>
        <w:pStyle w:val="Textoindependiente"/>
        <w:spacing w:before="10"/>
        <w:rPr>
          <w:lang w:val="es-CO"/>
        </w:rPr>
      </w:pPr>
    </w:p>
    <w:p w:rsidR="00E249B7" w:rsidRPr="00D9690A" w:rsidRDefault="00E249B7" w:rsidP="00E249B7">
      <w:pPr>
        <w:pStyle w:val="Textoindependiente"/>
        <w:spacing w:before="1" w:line="242" w:lineRule="auto"/>
        <w:ind w:left="100" w:right="119"/>
        <w:jc w:val="both"/>
        <w:rPr>
          <w:lang w:val="es-CO"/>
        </w:rPr>
      </w:pPr>
      <w:r w:rsidRPr="00D9690A">
        <w:rPr>
          <w:lang w:val="es-CO"/>
        </w:rPr>
        <w:t>Según el reporte de dinámica empresarial realizado por Confecámaras, en el 2017 se crearon en el país 323.265 unidades productivas; 70.022 sociedades y 253.243 personas naturales; también se tiene un registro de 154.360 cancelaciones de unidades económicas; 10.967 sociedades y 143.393 personas naturales.</w:t>
      </w:r>
      <w:r w:rsidRPr="00D9690A">
        <w:rPr>
          <w:spacing w:val="57"/>
          <w:lang w:val="es-CO"/>
        </w:rPr>
        <w:t xml:space="preserve"> </w:t>
      </w:r>
      <w:r w:rsidRPr="00D9690A">
        <w:rPr>
          <w:lang w:val="es-CO"/>
        </w:rPr>
        <w:t>Este cierre de unidades productivas equivale a un 47% de las entidades que se crean anualmente. De estas nuevas unidades productivas, el 99.4% son Mipymes. Los emprendimientos tienen un índice de salida del mercado elevado.</w:t>
      </w:r>
    </w:p>
    <w:p w:rsidR="00E249B7" w:rsidRPr="00D9690A" w:rsidRDefault="00E249B7" w:rsidP="00E249B7">
      <w:pPr>
        <w:pStyle w:val="Textoindependiente"/>
        <w:spacing w:before="1"/>
        <w:rPr>
          <w:sz w:val="25"/>
          <w:lang w:val="es-CO"/>
        </w:rPr>
      </w:pPr>
    </w:p>
    <w:p w:rsidR="00E249B7" w:rsidRPr="00D9690A" w:rsidRDefault="00E249B7" w:rsidP="00E249B7">
      <w:pPr>
        <w:pStyle w:val="Textoindependiente"/>
        <w:spacing w:line="242" w:lineRule="auto"/>
        <w:ind w:left="100" w:right="119"/>
        <w:jc w:val="both"/>
        <w:rPr>
          <w:lang w:val="es-CO"/>
        </w:rPr>
      </w:pPr>
      <w:r w:rsidRPr="00D9690A">
        <w:rPr>
          <w:lang w:val="es-CO"/>
        </w:rPr>
        <w:t>Para promover el crecimiento empresarial de Colombia y su competitividad, se debe proteger a las empresas de las posiciones dominantes del mercado y se debe garantizar la libre competencia, lo cual no ocurre con los pequeños y medianos empresarios en Colombia, donde las empresas grandes no pagan</w:t>
      </w:r>
      <w:r w:rsidRPr="00D9690A">
        <w:rPr>
          <w:spacing w:val="-1"/>
          <w:lang w:val="es-CO"/>
        </w:rPr>
        <w:t xml:space="preserve"> </w:t>
      </w:r>
      <w:r w:rsidRPr="00D9690A">
        <w:rPr>
          <w:lang w:val="es-CO"/>
        </w:rPr>
        <w:t>sus</w:t>
      </w:r>
    </w:p>
    <w:p w:rsidR="00E249B7" w:rsidRPr="00D9690A" w:rsidRDefault="00E249B7" w:rsidP="00E249B7">
      <w:pPr>
        <w:spacing w:line="242" w:lineRule="auto"/>
        <w:jc w:val="both"/>
        <w:rPr>
          <w:lang w:val="es-CO"/>
        </w:rPr>
        <w:sectPr w:rsidR="00E249B7" w:rsidRPr="00D9690A">
          <w:pgSz w:w="12240" w:h="15840"/>
          <w:pgMar w:top="2860" w:right="1580" w:bottom="1680" w:left="1600" w:header="708" w:footer="1488" w:gutter="0"/>
          <w:cols w:space="720"/>
        </w:sectPr>
      </w:pPr>
    </w:p>
    <w:p w:rsidR="00E249B7" w:rsidRPr="00D9690A" w:rsidRDefault="00E249B7" w:rsidP="00E249B7">
      <w:pPr>
        <w:pStyle w:val="Textoindependiente"/>
        <w:rPr>
          <w:sz w:val="20"/>
          <w:lang w:val="es-CO"/>
        </w:rPr>
      </w:pPr>
    </w:p>
    <w:p w:rsidR="00E249B7" w:rsidRPr="00D9690A" w:rsidRDefault="00E249B7" w:rsidP="00E249B7">
      <w:pPr>
        <w:pStyle w:val="Textoindependiente"/>
        <w:spacing w:before="220" w:line="242" w:lineRule="auto"/>
        <w:ind w:left="100" w:right="119"/>
        <w:jc w:val="both"/>
        <w:rPr>
          <w:lang w:val="es-CO"/>
        </w:rPr>
      </w:pPr>
      <w:r w:rsidRPr="00D9690A">
        <w:rPr>
          <w:lang w:val="es-CO"/>
        </w:rPr>
        <w:t>deudas a tiempo para apalancar su operación y generan costos adicionales a las Mypimes, afectando su rentabilidad y llevándolas a cerrar o vender.</w:t>
      </w:r>
    </w:p>
    <w:p w:rsidR="00E249B7" w:rsidRPr="00D9690A" w:rsidRDefault="00E249B7" w:rsidP="00E249B7">
      <w:pPr>
        <w:pStyle w:val="Textoindependiente"/>
        <w:rPr>
          <w:sz w:val="26"/>
          <w:lang w:val="es-CO"/>
        </w:rPr>
      </w:pPr>
    </w:p>
    <w:p w:rsidR="00E249B7" w:rsidRPr="00D9690A" w:rsidRDefault="00E249B7" w:rsidP="00E249B7">
      <w:pPr>
        <w:pStyle w:val="Textoindependiente"/>
        <w:spacing w:before="11"/>
        <w:rPr>
          <w:sz w:val="22"/>
          <w:lang w:val="es-CO"/>
        </w:rPr>
      </w:pPr>
    </w:p>
    <w:p w:rsidR="00E249B7" w:rsidRPr="00D9690A" w:rsidRDefault="00E249B7" w:rsidP="00E249B7">
      <w:pPr>
        <w:pStyle w:val="Textoindependiente"/>
        <w:spacing w:line="242" w:lineRule="auto"/>
        <w:ind w:left="100" w:right="119"/>
        <w:jc w:val="both"/>
        <w:rPr>
          <w:lang w:val="es-CO"/>
        </w:rPr>
      </w:pPr>
      <w:r w:rsidRPr="00D9690A">
        <w:rPr>
          <w:lang w:val="es-CO"/>
        </w:rPr>
        <w:t>Para garantizar el crecimiento y el desarrollo del país, es importante garantizar normas claras y estabilidad a los empresarios y emprendedores, ya que según el GEM, Colombia tiene una tasa relativamente alta de adultos que emprenden (20%), donde un 72% de los adultos consideran que el emprendimiento es una buena opción de carrera, y un 58% ven que el país tiene buenas oportunidades de negocios. También hay un 67% de colombianos que emprende porque ve una oportunidad, mientras que el 33% emprende por necesidad.</w:t>
      </w:r>
    </w:p>
    <w:p w:rsidR="00E249B7" w:rsidRPr="00D9690A" w:rsidRDefault="00E249B7" w:rsidP="00E249B7">
      <w:pPr>
        <w:pStyle w:val="Textoindependiente"/>
        <w:spacing w:before="1"/>
        <w:rPr>
          <w:sz w:val="25"/>
          <w:lang w:val="es-CO"/>
        </w:rPr>
      </w:pPr>
    </w:p>
    <w:p w:rsidR="00E249B7" w:rsidRPr="00D9690A" w:rsidRDefault="00E249B7" w:rsidP="00E249B7">
      <w:pPr>
        <w:pStyle w:val="Textoindependiente"/>
        <w:spacing w:line="242" w:lineRule="auto"/>
        <w:ind w:left="100" w:right="119"/>
        <w:jc w:val="both"/>
        <w:rPr>
          <w:lang w:val="es-CO"/>
        </w:rPr>
      </w:pPr>
      <w:r w:rsidRPr="00D9690A">
        <w:rPr>
          <w:lang w:val="es-CO"/>
        </w:rPr>
        <w:t>Esto evidencia que en el país hay motivaciones para el emprendimiento, pero no hay respuesta efectiva de las instituciones para soportar este fenómeno, razón por la que la tasa de éxito de los emprendedores en Colombia es muy baja.</w:t>
      </w:r>
    </w:p>
    <w:p w:rsidR="00E249B7" w:rsidRPr="00D9690A" w:rsidRDefault="00E249B7" w:rsidP="00E249B7">
      <w:pPr>
        <w:pStyle w:val="Textoindependiente"/>
        <w:rPr>
          <w:sz w:val="26"/>
          <w:lang w:val="es-CO"/>
        </w:rPr>
      </w:pPr>
    </w:p>
    <w:p w:rsidR="00E249B7" w:rsidRPr="00D9690A" w:rsidRDefault="00E249B7" w:rsidP="00E249B7">
      <w:pPr>
        <w:pStyle w:val="Textoindependiente"/>
        <w:rPr>
          <w:sz w:val="23"/>
          <w:lang w:val="es-CO"/>
        </w:rPr>
      </w:pPr>
    </w:p>
    <w:p w:rsidR="00E249B7" w:rsidRPr="00D9690A" w:rsidRDefault="00E249B7" w:rsidP="00E249B7">
      <w:pPr>
        <w:pStyle w:val="Textoindependiente"/>
        <w:spacing w:line="242" w:lineRule="auto"/>
        <w:ind w:left="100" w:right="119"/>
        <w:jc w:val="both"/>
        <w:rPr>
          <w:lang w:val="es-CO"/>
        </w:rPr>
      </w:pPr>
      <w:r w:rsidRPr="00D9690A">
        <w:rPr>
          <w:lang w:val="es-CO"/>
        </w:rPr>
        <w:t>Esta ley soluciona uno de los problemas que genera los cierres de empresas en Colombia, al proteger sus finanzas y garantizar un ciclo de efectivo para la operación de los negocios.</w:t>
      </w:r>
    </w:p>
    <w:p w:rsidR="00E249B7" w:rsidRPr="00D9690A" w:rsidRDefault="00E249B7" w:rsidP="00E249B7">
      <w:pPr>
        <w:spacing w:line="242" w:lineRule="auto"/>
        <w:jc w:val="both"/>
        <w:rPr>
          <w:lang w:val="es-CO"/>
        </w:rPr>
        <w:sectPr w:rsidR="00E249B7" w:rsidRPr="00D9690A">
          <w:pgSz w:w="12240" w:h="15840"/>
          <w:pgMar w:top="2860" w:right="1580" w:bottom="1680" w:left="1600" w:header="708" w:footer="1488" w:gutter="0"/>
          <w:cols w:space="720"/>
        </w:sectPr>
      </w:pPr>
    </w:p>
    <w:p w:rsidR="00E249B7" w:rsidRPr="00D9690A" w:rsidRDefault="00E249B7" w:rsidP="00E249B7">
      <w:pPr>
        <w:pStyle w:val="Textoindependiente"/>
        <w:rPr>
          <w:sz w:val="20"/>
          <w:lang w:val="es-CO"/>
        </w:rPr>
      </w:pPr>
    </w:p>
    <w:p w:rsidR="00E249B7" w:rsidRPr="00D9690A" w:rsidRDefault="00E249B7" w:rsidP="00E249B7">
      <w:pPr>
        <w:pStyle w:val="Textoindependiente"/>
        <w:rPr>
          <w:sz w:val="20"/>
          <w:lang w:val="es-CO"/>
        </w:rPr>
      </w:pPr>
    </w:p>
    <w:p w:rsidR="00E249B7" w:rsidRPr="00D9690A" w:rsidRDefault="00E249B7" w:rsidP="00E249B7">
      <w:pPr>
        <w:pStyle w:val="Textoindependiente"/>
        <w:spacing w:before="6"/>
        <w:rPr>
          <w:sz w:val="23"/>
          <w:lang w:val="es-CO"/>
        </w:rPr>
      </w:pPr>
    </w:p>
    <w:p w:rsidR="00E249B7" w:rsidRPr="00D9690A" w:rsidRDefault="00E249B7" w:rsidP="00E249B7">
      <w:pPr>
        <w:pStyle w:val="Ttulo1"/>
        <w:keepNext w:val="0"/>
        <w:keepLines w:val="0"/>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19"/>
          <w:tab w:val="left" w:pos="820"/>
        </w:tabs>
        <w:autoSpaceDE w:val="0"/>
        <w:autoSpaceDN w:val="0"/>
        <w:spacing w:before="0"/>
        <w:rPr>
          <w:lang w:val="es-CO"/>
        </w:rPr>
      </w:pPr>
      <w:r w:rsidRPr="00D9690A">
        <w:rPr>
          <w:lang w:val="es-CO"/>
        </w:rPr>
        <w:t>DERECHO COMPARADO (EXPERIENCIAS</w:t>
      </w:r>
      <w:r w:rsidRPr="00D9690A">
        <w:rPr>
          <w:spacing w:val="-5"/>
          <w:lang w:val="es-CO"/>
        </w:rPr>
        <w:t xml:space="preserve"> </w:t>
      </w:r>
      <w:r w:rsidRPr="00D9690A">
        <w:rPr>
          <w:lang w:val="es-CO"/>
        </w:rPr>
        <w:t>INTERNACIONALES)</w:t>
      </w:r>
    </w:p>
    <w:p w:rsidR="00E249B7" w:rsidRPr="00D9690A" w:rsidRDefault="00E249B7" w:rsidP="00E249B7">
      <w:pPr>
        <w:pStyle w:val="Textoindependiente"/>
        <w:rPr>
          <w:b/>
          <w:sz w:val="26"/>
          <w:lang w:val="es-CO"/>
        </w:rPr>
      </w:pPr>
    </w:p>
    <w:p w:rsidR="00E249B7" w:rsidRPr="00D9690A" w:rsidRDefault="00E249B7" w:rsidP="00E249B7">
      <w:pPr>
        <w:pStyle w:val="Textoindependiente"/>
        <w:spacing w:line="242" w:lineRule="auto"/>
        <w:ind w:left="100" w:right="119"/>
        <w:jc w:val="both"/>
        <w:rPr>
          <w:lang w:val="es-CO"/>
        </w:rPr>
      </w:pPr>
      <w:r w:rsidRPr="00D9690A">
        <w:rPr>
          <w:lang w:val="es-CO"/>
        </w:rPr>
        <w:t>A nivel mundial también existe preocupación por la mora en el pago a proveedores, especialmente a mipymes. Esto generó que en varios países se expidieran normas que protejan a los emprendedores de las posiciones dominantes de las grandes empresas. Acá se presenta un breve recuento de la normativa en Chile y España, países que escogimos dada su similaridad con Colombia:</w:t>
      </w:r>
    </w:p>
    <w:p w:rsidR="00E249B7" w:rsidRPr="00D9690A" w:rsidRDefault="00E249B7" w:rsidP="00E249B7">
      <w:pPr>
        <w:pStyle w:val="Textoindependiente"/>
        <w:rPr>
          <w:sz w:val="20"/>
          <w:lang w:val="es-CO"/>
        </w:rPr>
      </w:pPr>
    </w:p>
    <w:p w:rsidR="00E249B7" w:rsidRPr="00D9690A" w:rsidRDefault="00E249B7" w:rsidP="00E249B7">
      <w:pPr>
        <w:pStyle w:val="Textoindependiente"/>
        <w:rPr>
          <w:sz w:val="20"/>
          <w:lang w:val="es-CO"/>
        </w:rPr>
      </w:pPr>
    </w:p>
    <w:p w:rsidR="00E249B7" w:rsidRPr="00D9690A" w:rsidRDefault="00E249B7" w:rsidP="00E249B7">
      <w:pPr>
        <w:pStyle w:val="Textoindependiente"/>
        <w:spacing w:before="8"/>
        <w:rPr>
          <w:sz w:val="10"/>
          <w:lang w:val="es-CO"/>
        </w:rPr>
      </w:pPr>
    </w:p>
    <w:p w:rsidR="00E249B7" w:rsidRDefault="00E249B7" w:rsidP="00E249B7">
      <w:pPr>
        <w:spacing w:line="242" w:lineRule="auto"/>
        <w:rPr>
          <w:lang w:val="es-CO"/>
        </w:rPr>
      </w:pPr>
    </w:p>
    <w:tbl>
      <w:tblPr>
        <w:tblW w:w="11199" w:type="dxa"/>
        <w:tblInd w:w="-893" w:type="dxa"/>
        <w:tblCellMar>
          <w:top w:w="15" w:type="dxa"/>
          <w:left w:w="15" w:type="dxa"/>
          <w:bottom w:w="15" w:type="dxa"/>
          <w:right w:w="15" w:type="dxa"/>
        </w:tblCellMar>
        <w:tblLook w:val="04A0" w:firstRow="1" w:lastRow="0" w:firstColumn="1" w:lastColumn="0" w:noHBand="0" w:noVBand="1"/>
      </w:tblPr>
      <w:tblGrid>
        <w:gridCol w:w="2265"/>
        <w:gridCol w:w="1720"/>
        <w:gridCol w:w="2900"/>
        <w:gridCol w:w="4314"/>
      </w:tblGrid>
      <w:tr w:rsidR="00E249B7" w:rsidRPr="0086679D" w:rsidTr="008B197C">
        <w:tc>
          <w:tcPr>
            <w:tcW w:w="2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49B7" w:rsidRPr="0086679D" w:rsidRDefault="00E249B7" w:rsidP="008B197C">
            <w:pPr>
              <w:rPr>
                <w:rFonts w:eastAsia="Times New Roman"/>
                <w:lang w:val="es-CO" w:eastAsia="es-CO"/>
              </w:rPr>
            </w:pP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49B7" w:rsidRPr="0086679D" w:rsidRDefault="00E249B7" w:rsidP="008B197C">
            <w:pPr>
              <w:rPr>
                <w:rFonts w:eastAsia="Times New Roman"/>
                <w:lang w:val="es-CO" w:eastAsia="es-CO"/>
              </w:rPr>
            </w:pPr>
            <w:r w:rsidRPr="0086679D">
              <w:rPr>
                <w:rFonts w:eastAsia="Times New Roman"/>
                <w:color w:val="000000"/>
                <w:lang w:val="es-CO" w:eastAsia="es-CO"/>
              </w:rPr>
              <w:t>Colombia</w:t>
            </w:r>
          </w:p>
        </w:tc>
        <w:tc>
          <w:tcPr>
            <w:tcW w:w="2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49B7" w:rsidRPr="0086679D" w:rsidRDefault="00E249B7" w:rsidP="008B197C">
            <w:pPr>
              <w:rPr>
                <w:rFonts w:eastAsia="Times New Roman"/>
                <w:lang w:val="es-CO" w:eastAsia="es-CO"/>
              </w:rPr>
            </w:pPr>
            <w:r w:rsidRPr="0086679D">
              <w:rPr>
                <w:rFonts w:eastAsia="Times New Roman"/>
                <w:color w:val="000000"/>
                <w:lang w:val="es-CO" w:eastAsia="es-CO"/>
              </w:rPr>
              <w:t>Chile</w:t>
            </w:r>
          </w:p>
        </w:tc>
        <w:tc>
          <w:tcPr>
            <w:tcW w:w="4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49B7" w:rsidRPr="0086679D" w:rsidRDefault="00E249B7" w:rsidP="008B197C">
            <w:pPr>
              <w:rPr>
                <w:rFonts w:eastAsia="Times New Roman"/>
                <w:lang w:val="es-CO" w:eastAsia="es-CO"/>
              </w:rPr>
            </w:pPr>
            <w:r w:rsidRPr="0086679D">
              <w:rPr>
                <w:rFonts w:eastAsia="Times New Roman"/>
                <w:color w:val="000000"/>
                <w:lang w:val="es-CO" w:eastAsia="es-CO"/>
              </w:rPr>
              <w:t>España</w:t>
            </w:r>
          </w:p>
        </w:tc>
      </w:tr>
      <w:tr w:rsidR="00E249B7" w:rsidRPr="0086679D" w:rsidTr="008B197C">
        <w:tc>
          <w:tcPr>
            <w:tcW w:w="2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49B7" w:rsidRPr="0086679D" w:rsidRDefault="00E249B7" w:rsidP="008B197C">
            <w:pPr>
              <w:rPr>
                <w:rFonts w:eastAsia="Times New Roman"/>
                <w:lang w:val="es-CO" w:eastAsia="es-CO"/>
              </w:rPr>
            </w:pPr>
            <w:r w:rsidRPr="0086679D">
              <w:rPr>
                <w:rFonts w:eastAsia="Times New Roman"/>
                <w:color w:val="000000"/>
                <w:lang w:val="es-CO" w:eastAsia="es-CO"/>
              </w:rPr>
              <w:t>Legislación</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49B7" w:rsidRPr="0086679D" w:rsidRDefault="00E249B7" w:rsidP="008B197C">
            <w:pPr>
              <w:rPr>
                <w:rFonts w:eastAsia="Times New Roman"/>
                <w:lang w:val="es-CO" w:eastAsia="es-CO"/>
              </w:rPr>
            </w:pPr>
            <w:r w:rsidRPr="0086679D">
              <w:rPr>
                <w:rFonts w:eastAsia="Times New Roman"/>
                <w:color w:val="000000"/>
                <w:lang w:val="es-CO" w:eastAsia="es-CO"/>
              </w:rPr>
              <w:t xml:space="preserve">No existe </w:t>
            </w:r>
          </w:p>
        </w:tc>
        <w:tc>
          <w:tcPr>
            <w:tcW w:w="2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49B7" w:rsidRPr="0086679D" w:rsidRDefault="00E249B7" w:rsidP="008B197C">
            <w:pPr>
              <w:jc w:val="both"/>
              <w:rPr>
                <w:rFonts w:eastAsia="Times New Roman"/>
                <w:lang w:val="es-CO" w:eastAsia="es-CO"/>
              </w:rPr>
            </w:pPr>
            <w:r w:rsidRPr="0086679D">
              <w:rPr>
                <w:rFonts w:eastAsia="Times New Roman"/>
                <w:color w:val="000000"/>
                <w:lang w:val="es-CO" w:eastAsia="es-CO"/>
              </w:rPr>
              <w:t xml:space="preserve">Ley 20416 de 2010 (Ley Pymes) </w:t>
            </w:r>
          </w:p>
        </w:tc>
        <w:tc>
          <w:tcPr>
            <w:tcW w:w="4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49B7" w:rsidRPr="0086679D" w:rsidRDefault="00E249B7" w:rsidP="008B197C">
            <w:pPr>
              <w:jc w:val="both"/>
              <w:rPr>
                <w:rFonts w:eastAsia="Times New Roman"/>
                <w:lang w:val="es-CO" w:eastAsia="es-CO"/>
              </w:rPr>
            </w:pPr>
            <w:r w:rsidRPr="0086679D">
              <w:rPr>
                <w:rFonts w:eastAsia="Times New Roman"/>
                <w:color w:val="000000"/>
                <w:lang w:val="es-CO" w:eastAsia="es-CO"/>
              </w:rPr>
              <w:t>Ley 15 de 2010, modifica Ley 3 de 2004, la cual lucha contra la morosidad mercantil.</w:t>
            </w:r>
          </w:p>
        </w:tc>
      </w:tr>
      <w:tr w:rsidR="00E249B7" w:rsidRPr="0086679D" w:rsidTr="008B197C">
        <w:tc>
          <w:tcPr>
            <w:tcW w:w="2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49B7" w:rsidRPr="0086679D" w:rsidRDefault="00E249B7" w:rsidP="008B197C">
            <w:pPr>
              <w:rPr>
                <w:rFonts w:eastAsia="Times New Roman"/>
                <w:lang w:val="es-CO" w:eastAsia="es-CO"/>
              </w:rPr>
            </w:pPr>
            <w:r w:rsidRPr="0086679D">
              <w:rPr>
                <w:rFonts w:eastAsia="Times New Roman"/>
                <w:color w:val="000000"/>
                <w:lang w:val="es-CO" w:eastAsia="es-CO"/>
              </w:rPr>
              <w:t>Periodicidad de pago</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49B7" w:rsidRPr="0086679D" w:rsidRDefault="00E249B7" w:rsidP="008B197C">
            <w:pPr>
              <w:rPr>
                <w:rFonts w:eastAsia="Times New Roman"/>
                <w:lang w:val="es-CO" w:eastAsia="es-CO"/>
              </w:rPr>
            </w:pPr>
            <w:r w:rsidRPr="0086679D">
              <w:rPr>
                <w:rFonts w:eastAsia="Times New Roman"/>
                <w:color w:val="000000"/>
                <w:lang w:val="es-CO" w:eastAsia="es-CO"/>
              </w:rPr>
              <w:t>No existe</w:t>
            </w:r>
          </w:p>
        </w:tc>
        <w:tc>
          <w:tcPr>
            <w:tcW w:w="2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49B7" w:rsidRPr="0086679D" w:rsidRDefault="00E249B7" w:rsidP="008B197C">
            <w:pPr>
              <w:jc w:val="both"/>
              <w:rPr>
                <w:rFonts w:eastAsia="Times New Roman"/>
                <w:lang w:val="es-CO" w:eastAsia="es-CO"/>
              </w:rPr>
            </w:pPr>
            <w:r w:rsidRPr="0086679D">
              <w:rPr>
                <w:rFonts w:eastAsia="Times New Roman"/>
                <w:color w:val="000000"/>
                <w:lang w:val="es-CO" w:eastAsia="es-CO"/>
              </w:rPr>
              <w:t>Son 45 días  para empresas de Servicios y de Manufactura. Son 30 días para empresas agrícolas.</w:t>
            </w:r>
          </w:p>
        </w:tc>
        <w:tc>
          <w:tcPr>
            <w:tcW w:w="4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49B7" w:rsidRPr="0086679D" w:rsidRDefault="00E249B7" w:rsidP="008B197C">
            <w:pPr>
              <w:rPr>
                <w:rFonts w:eastAsia="Times New Roman"/>
                <w:lang w:val="es-CO" w:eastAsia="es-CO"/>
              </w:rPr>
            </w:pPr>
            <w:r w:rsidRPr="0086679D">
              <w:rPr>
                <w:rFonts w:eastAsia="Times New Roman"/>
                <w:color w:val="000000"/>
                <w:lang w:val="es-CO" w:eastAsia="es-CO"/>
              </w:rPr>
              <w:t xml:space="preserve">Son 60 días máximo, después de la entrega de la mercancía </w:t>
            </w:r>
          </w:p>
        </w:tc>
      </w:tr>
      <w:tr w:rsidR="00E249B7" w:rsidRPr="0086679D" w:rsidTr="008B197C">
        <w:tc>
          <w:tcPr>
            <w:tcW w:w="22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49B7" w:rsidRPr="0086679D" w:rsidRDefault="00E249B7" w:rsidP="008B197C">
            <w:pPr>
              <w:rPr>
                <w:rFonts w:eastAsia="Times New Roman"/>
                <w:lang w:val="es-CO" w:eastAsia="es-CO"/>
              </w:rPr>
            </w:pPr>
            <w:r w:rsidRPr="0086679D">
              <w:rPr>
                <w:rFonts w:eastAsia="Times New Roman"/>
                <w:color w:val="000000"/>
                <w:lang w:val="es-CO" w:eastAsia="es-CO"/>
              </w:rPr>
              <w:t xml:space="preserve">Sanciones por morosidad </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49B7" w:rsidRPr="0086679D" w:rsidRDefault="00E249B7" w:rsidP="008B197C">
            <w:pPr>
              <w:rPr>
                <w:rFonts w:eastAsia="Times New Roman"/>
                <w:lang w:val="es-CO" w:eastAsia="es-CO"/>
              </w:rPr>
            </w:pPr>
            <w:r w:rsidRPr="0086679D">
              <w:rPr>
                <w:rFonts w:eastAsia="Times New Roman"/>
                <w:color w:val="000000"/>
                <w:lang w:val="es-CO" w:eastAsia="es-CO"/>
              </w:rPr>
              <w:t>Es el mismo régimen por incumplimiento en mora de obligaciones contractuales.</w:t>
            </w:r>
          </w:p>
        </w:tc>
        <w:tc>
          <w:tcPr>
            <w:tcW w:w="29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49B7" w:rsidRPr="0086679D" w:rsidRDefault="00E249B7" w:rsidP="008B197C">
            <w:pPr>
              <w:jc w:val="both"/>
              <w:rPr>
                <w:rFonts w:eastAsia="Times New Roman"/>
                <w:lang w:val="es-CO" w:eastAsia="es-CO"/>
              </w:rPr>
            </w:pPr>
            <w:r w:rsidRPr="0086679D">
              <w:rPr>
                <w:rFonts w:eastAsia="Times New Roman"/>
                <w:color w:val="000000"/>
                <w:lang w:val="es-CO" w:eastAsia="es-CO"/>
              </w:rPr>
              <w:t>Se indemnizan todos los costos del cobro que se acrediten que haya sufrido el acreedor.</w:t>
            </w:r>
          </w:p>
        </w:tc>
        <w:tc>
          <w:tcPr>
            <w:tcW w:w="43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E249B7" w:rsidRPr="0086679D" w:rsidRDefault="00E249B7" w:rsidP="008B197C">
            <w:pPr>
              <w:jc w:val="both"/>
              <w:rPr>
                <w:rFonts w:eastAsia="Times New Roman"/>
                <w:lang w:val="es-CO" w:eastAsia="es-CO"/>
              </w:rPr>
            </w:pPr>
            <w:r w:rsidRPr="0086679D">
              <w:rPr>
                <w:rFonts w:eastAsia="Times New Roman"/>
                <w:color w:val="000000"/>
                <w:lang w:val="es-CO" w:eastAsia="es-CO"/>
              </w:rPr>
              <w:t>Cuando el deudor incurra en mora,</w:t>
            </w:r>
            <w:r>
              <w:rPr>
                <w:rFonts w:eastAsia="Times New Roman"/>
                <w:color w:val="000000"/>
                <w:lang w:val="es-CO" w:eastAsia="es-CO"/>
              </w:rPr>
              <w:t xml:space="preserve">  </w:t>
            </w:r>
            <w:r w:rsidRPr="0086679D">
              <w:rPr>
                <w:rFonts w:eastAsia="Times New Roman"/>
                <w:color w:val="000000"/>
                <w:lang w:val="es-CO" w:eastAsia="es-CO"/>
              </w:rPr>
              <w:t xml:space="preserve"> el acreedor tendrá derecho a reclamar al deudor una indemnización por todos los costes de cobro debidamente acreditados que haya sufrido a causa de la</w:t>
            </w:r>
            <w:r>
              <w:rPr>
                <w:rFonts w:eastAsia="Times New Roman"/>
                <w:color w:val="000000"/>
                <w:lang w:val="es-CO" w:eastAsia="es-CO"/>
              </w:rPr>
              <w:t xml:space="preserve">   </w:t>
            </w:r>
            <w:r w:rsidRPr="0086679D">
              <w:rPr>
                <w:rFonts w:eastAsia="Times New Roman"/>
                <w:color w:val="000000"/>
                <w:lang w:val="es-CO" w:eastAsia="es-CO"/>
              </w:rPr>
              <w:t xml:space="preserve"> mora de éste. No podrá superar el 15% del valor de la factura. </w:t>
            </w:r>
          </w:p>
        </w:tc>
      </w:tr>
    </w:tbl>
    <w:p w:rsidR="00E249B7" w:rsidRPr="00D9690A" w:rsidRDefault="00E249B7" w:rsidP="00E249B7">
      <w:pPr>
        <w:spacing w:line="242" w:lineRule="auto"/>
        <w:rPr>
          <w:lang w:val="es-CO"/>
        </w:rPr>
        <w:sectPr w:rsidR="00E249B7" w:rsidRPr="00D9690A">
          <w:pgSz w:w="12240" w:h="15840"/>
          <w:pgMar w:top="2860" w:right="1580" w:bottom="1680" w:left="1600" w:header="708" w:footer="1488" w:gutter="0"/>
          <w:cols w:space="720"/>
        </w:sectPr>
      </w:pPr>
    </w:p>
    <w:p w:rsidR="00E249B7" w:rsidRPr="00D9690A" w:rsidRDefault="00E249B7" w:rsidP="00E249B7">
      <w:pPr>
        <w:pStyle w:val="Textoindependiente"/>
        <w:rPr>
          <w:sz w:val="20"/>
          <w:lang w:val="es-CO"/>
        </w:rPr>
      </w:pPr>
    </w:p>
    <w:p w:rsidR="00E249B7" w:rsidRPr="00D9690A" w:rsidRDefault="00E249B7" w:rsidP="00E249B7">
      <w:pPr>
        <w:pStyle w:val="Textoindependiente"/>
        <w:rPr>
          <w:sz w:val="20"/>
          <w:lang w:val="es-CO"/>
        </w:rPr>
      </w:pPr>
    </w:p>
    <w:p w:rsidR="00E249B7" w:rsidRPr="00D9690A" w:rsidRDefault="00E249B7" w:rsidP="00E249B7">
      <w:pPr>
        <w:pStyle w:val="Textoindependiente"/>
        <w:rPr>
          <w:sz w:val="20"/>
          <w:lang w:val="es-CO"/>
        </w:rPr>
      </w:pPr>
    </w:p>
    <w:p w:rsidR="00E249B7" w:rsidRPr="00D9690A" w:rsidRDefault="00E249B7" w:rsidP="00E249B7">
      <w:pPr>
        <w:pStyle w:val="Textoindependiente"/>
        <w:rPr>
          <w:sz w:val="20"/>
          <w:lang w:val="es-CO"/>
        </w:rPr>
      </w:pPr>
    </w:p>
    <w:p w:rsidR="00E249B7" w:rsidRPr="00D9690A" w:rsidRDefault="00E249B7" w:rsidP="00E249B7">
      <w:pPr>
        <w:pStyle w:val="Textoindependiente"/>
        <w:spacing w:before="226" w:line="242" w:lineRule="auto"/>
        <w:ind w:left="100" w:right="119"/>
        <w:jc w:val="both"/>
        <w:rPr>
          <w:lang w:val="es-CO"/>
        </w:rPr>
      </w:pPr>
      <w:r w:rsidRPr="00D9690A">
        <w:rPr>
          <w:lang w:val="es-CO"/>
        </w:rPr>
        <w:t>De esta forma, hay que hacer precisiones frente a los sistemas jurídicos de España y Chile en contraste con el de Colombia, dado que estas particularidades inciden a la hora de aplicar una ley inspirada en normas de otras latitudes. España es un país con un respeto por las normas mucho más fuerte que</w:t>
      </w:r>
      <w:r w:rsidRPr="00D9690A">
        <w:rPr>
          <w:spacing w:val="13"/>
          <w:lang w:val="es-CO"/>
        </w:rPr>
        <w:t xml:space="preserve"> </w:t>
      </w:r>
      <w:r w:rsidRPr="00D9690A">
        <w:rPr>
          <w:lang w:val="es-CO"/>
        </w:rPr>
        <w:t>Colombia, respeta la ley y los contratos porque hay un sistema judicial más fuerte. Prueba de ello es que la fuerza que tiene el Estado para</w:t>
      </w:r>
      <w:r w:rsidRPr="00D9690A">
        <w:rPr>
          <w:spacing w:val="-1"/>
          <w:lang w:val="es-CO"/>
        </w:rPr>
        <w:t xml:space="preserve"> </w:t>
      </w:r>
      <w:r w:rsidRPr="00D9690A">
        <w:rPr>
          <w:lang w:val="es-CO"/>
        </w:rPr>
        <w:t>hacer</w:t>
      </w:r>
      <w:r>
        <w:rPr>
          <w:lang w:val="es-CO"/>
        </w:rPr>
        <w:t xml:space="preserve"> </w:t>
      </w:r>
      <w:r w:rsidRPr="00D9690A">
        <w:rPr>
          <w:lang w:val="es-CO"/>
        </w:rPr>
        <w:t xml:space="preserve">respetar los contratos es muy asimétrico en estos países frente a Colombia, en España y en Chile se toman 510 días y 480 días respectivamente para hacer cumplir un contrato; mientras que en Colombia se toman 1288 días, según el índice </w:t>
      </w:r>
      <w:r w:rsidRPr="00D9690A">
        <w:rPr>
          <w:i/>
          <w:lang w:val="es-CO"/>
        </w:rPr>
        <w:t xml:space="preserve">Time required to enforce a contract </w:t>
      </w:r>
      <w:r w:rsidRPr="00D9690A">
        <w:rPr>
          <w:lang w:val="es-CO"/>
        </w:rPr>
        <w:t xml:space="preserve">de </w:t>
      </w:r>
      <w:r w:rsidRPr="00D9690A">
        <w:rPr>
          <w:i/>
          <w:lang w:val="es-CO"/>
        </w:rPr>
        <w:t>doing business</w:t>
      </w:r>
      <w:r w:rsidRPr="00D9690A">
        <w:rPr>
          <w:lang w:val="es-CO"/>
        </w:rPr>
        <w:t xml:space="preserve">. La inefectividad a la hora de la aplicación de la ley en Colombia podría ocasionar que la ley de pronto pago que se propone también tenga problemas. Así que para contrarrestar este riesgo se proponen las indemnizaciones como desincentivo al incumplimiento de la ley; que las cláusulas que extiendan los plazos de pago por encima de lo que </w:t>
      </w:r>
      <w:r w:rsidRPr="00D9690A">
        <w:rPr>
          <w:spacing w:val="6"/>
          <w:lang w:val="es-CO"/>
        </w:rPr>
        <w:t xml:space="preserve">expresa esta </w:t>
      </w:r>
      <w:r w:rsidRPr="00D9690A">
        <w:rPr>
          <w:spacing w:val="5"/>
          <w:lang w:val="es-CO"/>
        </w:rPr>
        <w:t xml:space="preserve">ley sea </w:t>
      </w:r>
      <w:r w:rsidRPr="00D9690A">
        <w:rPr>
          <w:spacing w:val="7"/>
          <w:lang w:val="es-CO"/>
        </w:rPr>
        <w:t xml:space="preserve">ineficaz </w:t>
      </w:r>
      <w:r w:rsidRPr="00D9690A">
        <w:rPr>
          <w:spacing w:val="4"/>
          <w:lang w:val="es-CO"/>
        </w:rPr>
        <w:t xml:space="preserve">de </w:t>
      </w:r>
      <w:r w:rsidRPr="00D9690A">
        <w:rPr>
          <w:spacing w:val="6"/>
          <w:lang w:val="es-CO"/>
        </w:rPr>
        <w:t xml:space="preserve">pleno </w:t>
      </w:r>
      <w:r w:rsidRPr="00D9690A">
        <w:rPr>
          <w:spacing w:val="7"/>
          <w:lang w:val="es-CO"/>
        </w:rPr>
        <w:t xml:space="preserve">derecho, </w:t>
      </w:r>
      <w:r w:rsidRPr="00D9690A">
        <w:rPr>
          <w:spacing w:val="4"/>
          <w:lang w:val="es-CO"/>
        </w:rPr>
        <w:t xml:space="preserve">lo </w:t>
      </w:r>
      <w:r w:rsidRPr="00D9690A">
        <w:rPr>
          <w:spacing w:val="5"/>
          <w:lang w:val="es-CO"/>
        </w:rPr>
        <w:t xml:space="preserve">que </w:t>
      </w:r>
      <w:r w:rsidRPr="00D9690A">
        <w:rPr>
          <w:spacing w:val="4"/>
          <w:lang w:val="es-CO"/>
        </w:rPr>
        <w:t xml:space="preserve">no </w:t>
      </w:r>
      <w:r w:rsidRPr="00D9690A">
        <w:rPr>
          <w:spacing w:val="7"/>
          <w:lang w:val="es-CO"/>
        </w:rPr>
        <w:t xml:space="preserve">necesita </w:t>
      </w:r>
      <w:r w:rsidRPr="00D9690A">
        <w:rPr>
          <w:lang w:val="es-CO"/>
        </w:rPr>
        <w:t xml:space="preserve">pronunciamiento judicial que lo declare; la promoción del Ministerio de Comercio para que se genere la cultura del pronto pago en el sector privado y el público; </w:t>
      </w:r>
      <w:r w:rsidRPr="00D9690A">
        <w:rPr>
          <w:spacing w:val="-9"/>
          <w:lang w:val="es-CO"/>
        </w:rPr>
        <w:t xml:space="preserve">y, </w:t>
      </w:r>
      <w:r w:rsidRPr="00D9690A">
        <w:rPr>
          <w:lang w:val="es-CO"/>
        </w:rPr>
        <w:t>finalmente,</w:t>
      </w:r>
      <w:r w:rsidRPr="00D9690A">
        <w:rPr>
          <w:spacing w:val="43"/>
          <w:lang w:val="es-CO"/>
        </w:rPr>
        <w:t xml:space="preserve"> </w:t>
      </w:r>
      <w:r w:rsidRPr="00D9690A">
        <w:rPr>
          <w:lang w:val="es-CO"/>
        </w:rPr>
        <w:t>la</w:t>
      </w:r>
      <w:r w:rsidRPr="00D9690A">
        <w:rPr>
          <w:spacing w:val="44"/>
          <w:lang w:val="es-CO"/>
        </w:rPr>
        <w:t xml:space="preserve"> </w:t>
      </w:r>
      <w:r w:rsidRPr="00D9690A">
        <w:rPr>
          <w:lang w:val="es-CO"/>
        </w:rPr>
        <w:t>posibilidad</w:t>
      </w:r>
      <w:r w:rsidRPr="00D9690A">
        <w:rPr>
          <w:spacing w:val="43"/>
          <w:lang w:val="es-CO"/>
        </w:rPr>
        <w:t xml:space="preserve"> </w:t>
      </w:r>
      <w:r w:rsidRPr="00D9690A">
        <w:rPr>
          <w:lang w:val="es-CO"/>
        </w:rPr>
        <w:t>de</w:t>
      </w:r>
      <w:r w:rsidRPr="00D9690A">
        <w:rPr>
          <w:spacing w:val="44"/>
          <w:lang w:val="es-CO"/>
        </w:rPr>
        <w:t xml:space="preserve"> </w:t>
      </w:r>
      <w:r w:rsidRPr="00D9690A">
        <w:rPr>
          <w:lang w:val="es-CO"/>
        </w:rPr>
        <w:t>hacer</w:t>
      </w:r>
      <w:r w:rsidRPr="00D9690A">
        <w:rPr>
          <w:spacing w:val="43"/>
          <w:lang w:val="es-CO"/>
        </w:rPr>
        <w:t xml:space="preserve"> </w:t>
      </w:r>
      <w:r w:rsidRPr="00D9690A">
        <w:rPr>
          <w:lang w:val="es-CO"/>
        </w:rPr>
        <w:t>efectivas</w:t>
      </w:r>
      <w:r w:rsidRPr="00D9690A">
        <w:rPr>
          <w:spacing w:val="44"/>
          <w:lang w:val="es-CO"/>
        </w:rPr>
        <w:t xml:space="preserve"> </w:t>
      </w:r>
      <w:r w:rsidRPr="00D9690A">
        <w:rPr>
          <w:lang w:val="es-CO"/>
        </w:rPr>
        <w:t>las</w:t>
      </w:r>
      <w:r w:rsidRPr="00D9690A">
        <w:rPr>
          <w:spacing w:val="44"/>
          <w:lang w:val="es-CO"/>
        </w:rPr>
        <w:t xml:space="preserve"> </w:t>
      </w:r>
      <w:r w:rsidRPr="00D9690A">
        <w:rPr>
          <w:lang w:val="es-CO"/>
        </w:rPr>
        <w:t>indemnizaciones</w:t>
      </w:r>
      <w:r w:rsidRPr="00D9690A">
        <w:rPr>
          <w:spacing w:val="43"/>
          <w:lang w:val="es-CO"/>
        </w:rPr>
        <w:t xml:space="preserve"> </w:t>
      </w:r>
      <w:r w:rsidRPr="00D9690A">
        <w:rPr>
          <w:lang w:val="es-CO"/>
        </w:rPr>
        <w:t>por</w:t>
      </w:r>
      <w:r w:rsidRPr="00D9690A">
        <w:rPr>
          <w:spacing w:val="44"/>
          <w:lang w:val="es-CO"/>
        </w:rPr>
        <w:t xml:space="preserve"> </w:t>
      </w:r>
      <w:r w:rsidRPr="00D9690A">
        <w:rPr>
          <w:lang w:val="es-CO"/>
        </w:rPr>
        <w:t>medio</w:t>
      </w:r>
      <w:r w:rsidRPr="00D9690A">
        <w:rPr>
          <w:spacing w:val="43"/>
          <w:lang w:val="es-CO"/>
        </w:rPr>
        <w:t xml:space="preserve"> </w:t>
      </w:r>
      <w:r w:rsidRPr="00D9690A">
        <w:rPr>
          <w:lang w:val="es-CO"/>
        </w:rPr>
        <w:t>del</w:t>
      </w:r>
      <w:r>
        <w:rPr>
          <w:lang w:val="es-CO"/>
        </w:rPr>
        <w:t xml:space="preserve"> </w:t>
      </w:r>
      <w:r w:rsidRPr="00D9690A">
        <w:rPr>
          <w:lang w:val="es-CO"/>
        </w:rPr>
        <w:t>proceso ejecutivo que es uno de los más expeditos del sistema judicial colombiano.</w:t>
      </w:r>
    </w:p>
    <w:p w:rsidR="00E249B7" w:rsidRPr="00D9690A" w:rsidRDefault="00E249B7" w:rsidP="00E249B7">
      <w:pPr>
        <w:pStyle w:val="Textoindependiente"/>
        <w:rPr>
          <w:sz w:val="26"/>
          <w:lang w:val="es-CO"/>
        </w:rPr>
      </w:pPr>
    </w:p>
    <w:p w:rsidR="00E249B7" w:rsidRPr="00D9690A" w:rsidRDefault="00E249B7" w:rsidP="00E249B7">
      <w:pPr>
        <w:pStyle w:val="Textoindependiente"/>
        <w:spacing w:before="11"/>
        <w:rPr>
          <w:sz w:val="22"/>
          <w:lang w:val="es-CO"/>
        </w:rPr>
      </w:pPr>
    </w:p>
    <w:p w:rsidR="00E249B7" w:rsidRPr="00D9690A" w:rsidRDefault="00E249B7" w:rsidP="00E249B7">
      <w:pPr>
        <w:pStyle w:val="Ttulo1"/>
        <w:keepNext w:val="0"/>
        <w:keepLines w:val="0"/>
        <w:widowControl w:val="0"/>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tabs>
          <w:tab w:val="left" w:pos="819"/>
          <w:tab w:val="left" w:pos="820"/>
        </w:tabs>
        <w:autoSpaceDE w:val="0"/>
        <w:autoSpaceDN w:val="0"/>
        <w:spacing w:before="0"/>
        <w:rPr>
          <w:lang w:val="es-CO"/>
        </w:rPr>
      </w:pPr>
      <w:r w:rsidRPr="00D9690A">
        <w:rPr>
          <w:lang w:val="es-CO"/>
        </w:rPr>
        <w:t>CONSTITUCIONALIDAD</w:t>
      </w:r>
    </w:p>
    <w:p w:rsidR="00E249B7" w:rsidRPr="00D9690A" w:rsidRDefault="00E249B7" w:rsidP="00E249B7">
      <w:pPr>
        <w:pStyle w:val="Textoindependiente"/>
        <w:rPr>
          <w:b/>
          <w:sz w:val="26"/>
          <w:lang w:val="es-CO"/>
        </w:rPr>
      </w:pPr>
    </w:p>
    <w:p w:rsidR="00E249B7" w:rsidRPr="00D9690A" w:rsidRDefault="00E249B7" w:rsidP="00E249B7">
      <w:pPr>
        <w:pStyle w:val="Textoindependiente"/>
        <w:rPr>
          <w:b/>
          <w:sz w:val="23"/>
          <w:lang w:val="es-CO"/>
        </w:rPr>
      </w:pPr>
    </w:p>
    <w:p w:rsidR="00E249B7" w:rsidRPr="003A75FE" w:rsidRDefault="00E249B7" w:rsidP="00E249B7">
      <w:pPr>
        <w:pStyle w:val="Prrafodelista"/>
        <w:widowControl w:val="0"/>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1539"/>
          <w:tab w:val="left" w:pos="1540"/>
        </w:tabs>
        <w:autoSpaceDE w:val="0"/>
        <w:autoSpaceDN w:val="0"/>
        <w:contextualSpacing w:val="0"/>
        <w:rPr>
          <w:b/>
          <w:lang w:val="es-CO"/>
        </w:rPr>
      </w:pPr>
      <w:r w:rsidRPr="003A75FE">
        <w:rPr>
          <w:b/>
          <w:lang w:val="es-CO"/>
        </w:rPr>
        <w:t>La protección de la libre</w:t>
      </w:r>
      <w:r w:rsidRPr="003A75FE">
        <w:rPr>
          <w:b/>
          <w:spacing w:val="-1"/>
          <w:lang w:val="es-CO"/>
        </w:rPr>
        <w:t xml:space="preserve"> </w:t>
      </w:r>
      <w:r w:rsidRPr="003A75FE">
        <w:rPr>
          <w:b/>
          <w:lang w:val="es-CO"/>
        </w:rPr>
        <w:t>competencia</w:t>
      </w:r>
    </w:p>
    <w:p w:rsidR="00E249B7" w:rsidRPr="00D9690A" w:rsidRDefault="00E249B7" w:rsidP="00E249B7">
      <w:pPr>
        <w:pStyle w:val="Textoindependiente"/>
        <w:rPr>
          <w:b/>
          <w:sz w:val="26"/>
          <w:lang w:val="es-CO"/>
        </w:rPr>
      </w:pPr>
    </w:p>
    <w:p w:rsidR="00E249B7" w:rsidRPr="00D9690A" w:rsidRDefault="00E249B7" w:rsidP="00E249B7">
      <w:pPr>
        <w:pStyle w:val="Textoindependiente"/>
        <w:spacing w:before="1"/>
        <w:rPr>
          <w:b/>
          <w:sz w:val="23"/>
          <w:lang w:val="es-CO"/>
        </w:rPr>
      </w:pPr>
    </w:p>
    <w:p w:rsidR="00E249B7" w:rsidRPr="00D9690A" w:rsidRDefault="00E249B7" w:rsidP="00E249B7">
      <w:pPr>
        <w:pStyle w:val="Textoindependiente"/>
        <w:spacing w:line="242" w:lineRule="auto"/>
        <w:ind w:left="1060" w:right="119" w:firstLine="380"/>
        <w:jc w:val="both"/>
        <w:rPr>
          <w:lang w:val="es-CO"/>
        </w:rPr>
      </w:pPr>
      <w:r>
        <w:rPr>
          <w:lang w:val="es-CO"/>
        </w:rPr>
        <w:t xml:space="preserve">   </w:t>
      </w:r>
      <w:r w:rsidRPr="00D9690A">
        <w:rPr>
          <w:lang w:val="es-CO"/>
        </w:rPr>
        <w:t xml:space="preserve">“(...) El Estado, por mandato de la </w:t>
      </w:r>
      <w:r w:rsidRPr="00D9690A">
        <w:rPr>
          <w:spacing w:val="-5"/>
          <w:lang w:val="es-CO"/>
        </w:rPr>
        <w:t xml:space="preserve">ley, </w:t>
      </w:r>
      <w:r w:rsidRPr="00D9690A">
        <w:rPr>
          <w:lang w:val="es-CO"/>
        </w:rPr>
        <w:t>impedirá que se obstruya o se restrinja la libertad económica y evitará o controlará cualquier abuso que personas o empresas hagan de su posición dominante en el mercado nacional.</w:t>
      </w:r>
    </w:p>
    <w:p w:rsidR="00E249B7" w:rsidRPr="00D9690A" w:rsidRDefault="00E249B7" w:rsidP="00E249B7">
      <w:pPr>
        <w:pStyle w:val="Textoindependiente"/>
        <w:spacing w:before="5" w:line="242" w:lineRule="auto"/>
        <w:ind w:left="1060" w:right="119"/>
        <w:jc w:val="both"/>
        <w:rPr>
          <w:lang w:val="es-CO"/>
        </w:rPr>
      </w:pPr>
      <w:r>
        <w:rPr>
          <w:lang w:val="es-CO"/>
        </w:rPr>
        <w:t xml:space="preserve">         </w:t>
      </w:r>
      <w:r w:rsidRPr="00D9690A">
        <w:rPr>
          <w:lang w:val="es-CO"/>
        </w:rPr>
        <w:t xml:space="preserve">La ley delimitará el alcance de la libertad económica cuando así lo exijan el interés social, el ambiente y el patrimonio cultural de la Nación.” </w:t>
      </w:r>
      <w:r w:rsidRPr="00D9690A">
        <w:rPr>
          <w:lang w:val="es-CO"/>
        </w:rPr>
        <w:lastRenderedPageBreak/>
        <w:t>negrilla fuera del texto (Constitución Política de Colombia, art. 333)</w:t>
      </w:r>
    </w:p>
    <w:p w:rsidR="00E249B7" w:rsidRPr="00D9690A" w:rsidRDefault="00E249B7" w:rsidP="00E249B7">
      <w:pPr>
        <w:pStyle w:val="Textoindependiente"/>
        <w:rPr>
          <w:sz w:val="26"/>
          <w:lang w:val="es-CO"/>
        </w:rPr>
      </w:pPr>
    </w:p>
    <w:p w:rsidR="00E249B7" w:rsidRPr="00D9690A" w:rsidRDefault="00E249B7" w:rsidP="00E249B7">
      <w:pPr>
        <w:pStyle w:val="Textoindependiente"/>
        <w:rPr>
          <w:sz w:val="26"/>
          <w:lang w:val="es-CO"/>
        </w:rPr>
      </w:pPr>
    </w:p>
    <w:p w:rsidR="00E249B7" w:rsidRDefault="00E249B7" w:rsidP="00E249B7">
      <w:pPr>
        <w:pStyle w:val="Textoindependiente"/>
        <w:spacing w:before="5"/>
        <w:rPr>
          <w:sz w:val="21"/>
          <w:lang w:val="es-CO"/>
        </w:rPr>
      </w:pPr>
    </w:p>
    <w:p w:rsidR="00E249B7" w:rsidRPr="00D9690A" w:rsidRDefault="00E249B7" w:rsidP="00E249B7">
      <w:pPr>
        <w:pStyle w:val="Textoindependiente"/>
        <w:spacing w:before="5"/>
        <w:rPr>
          <w:sz w:val="21"/>
          <w:lang w:val="es-CO"/>
        </w:rPr>
      </w:pPr>
    </w:p>
    <w:p w:rsidR="00E249B7" w:rsidRPr="00D9690A" w:rsidRDefault="00E249B7" w:rsidP="00E249B7">
      <w:pPr>
        <w:pStyle w:val="Textoindependiente"/>
        <w:spacing w:before="1" w:line="242" w:lineRule="auto"/>
        <w:ind w:left="100" w:right="119"/>
        <w:jc w:val="both"/>
        <w:rPr>
          <w:lang w:val="es-CO"/>
        </w:rPr>
      </w:pPr>
      <w:r w:rsidRPr="00D9690A">
        <w:rPr>
          <w:lang w:val="es-CO"/>
        </w:rPr>
        <w:t>La naturaleza de la economía colombiana que se adoptó en la Constitución Política de 1991 es de carácter “social de mercado e introdujo una serie</w:t>
      </w:r>
      <w:r w:rsidRPr="00D9690A">
        <w:rPr>
          <w:spacing w:val="52"/>
          <w:lang w:val="es-CO"/>
        </w:rPr>
        <w:t xml:space="preserve"> </w:t>
      </w:r>
      <w:r w:rsidRPr="00D9690A">
        <w:rPr>
          <w:lang w:val="es-CO"/>
        </w:rPr>
        <w:t xml:space="preserve">de </w:t>
      </w:r>
      <w:r w:rsidRPr="00D9690A">
        <w:rPr>
          <w:spacing w:val="2"/>
          <w:lang w:val="es-CO"/>
        </w:rPr>
        <w:t xml:space="preserve">principios </w:t>
      </w:r>
      <w:r w:rsidRPr="00D9690A">
        <w:rPr>
          <w:lang w:val="es-CO"/>
        </w:rPr>
        <w:t xml:space="preserve">e </w:t>
      </w:r>
      <w:r w:rsidRPr="00D9690A">
        <w:rPr>
          <w:spacing w:val="2"/>
          <w:lang w:val="es-CO"/>
        </w:rPr>
        <w:t xml:space="preserve">instituciones para armonizar </w:t>
      </w:r>
      <w:r w:rsidRPr="00D9690A">
        <w:rPr>
          <w:lang w:val="es-CO"/>
        </w:rPr>
        <w:t xml:space="preserve">la </w:t>
      </w:r>
      <w:r w:rsidRPr="00D9690A">
        <w:rPr>
          <w:spacing w:val="2"/>
          <w:lang w:val="es-CO"/>
        </w:rPr>
        <w:t xml:space="preserve">intervención </w:t>
      </w:r>
      <w:r w:rsidRPr="00D9690A">
        <w:rPr>
          <w:lang w:val="es-CO"/>
        </w:rPr>
        <w:t xml:space="preserve">del </w:t>
      </w:r>
      <w:r w:rsidRPr="00D9690A">
        <w:rPr>
          <w:spacing w:val="2"/>
          <w:lang w:val="es-CO"/>
        </w:rPr>
        <w:t xml:space="preserve">Estado” </w:t>
      </w:r>
      <w:r w:rsidRPr="00D9690A">
        <w:rPr>
          <w:lang w:val="es-CO"/>
        </w:rPr>
        <w:t xml:space="preserve">(C. Constitucional, C-616 de </w:t>
      </w:r>
      <w:r w:rsidRPr="00D9690A">
        <w:rPr>
          <w:spacing w:val="-3"/>
          <w:lang w:val="es-CO"/>
        </w:rPr>
        <w:t xml:space="preserve">2011). </w:t>
      </w:r>
      <w:r w:rsidRPr="00D9690A">
        <w:rPr>
          <w:lang w:val="es-CO"/>
        </w:rPr>
        <w:t>Ante esto, la Constitución en el artículo que se cita arriba establece que la libre competencia es</w:t>
      </w:r>
      <w:r w:rsidRPr="00D9690A">
        <w:rPr>
          <w:spacing w:val="-1"/>
          <w:lang w:val="es-CO"/>
        </w:rPr>
        <w:t xml:space="preserve"> </w:t>
      </w:r>
      <w:r w:rsidRPr="00D9690A">
        <w:rPr>
          <w:lang w:val="es-CO"/>
        </w:rPr>
        <w:t>un</w:t>
      </w:r>
      <w:r>
        <w:rPr>
          <w:lang w:val="es-CO"/>
        </w:rPr>
        <w:t xml:space="preserve"> </w:t>
      </w:r>
      <w:r w:rsidRPr="00D9690A">
        <w:rPr>
          <w:lang w:val="es-CO"/>
        </w:rPr>
        <w:t>derecho directo, lo que implica que debe prestarse este derecho con enfoque garantista; y por esto, el Estado puede intervenir para asegurar su garantía.</w:t>
      </w:r>
    </w:p>
    <w:p w:rsidR="00E249B7" w:rsidRPr="00D9690A" w:rsidRDefault="00E249B7" w:rsidP="00E249B7">
      <w:pPr>
        <w:pStyle w:val="Textoindependiente"/>
        <w:spacing w:before="7"/>
        <w:rPr>
          <w:lang w:val="es-CO"/>
        </w:rPr>
      </w:pPr>
    </w:p>
    <w:p w:rsidR="00E249B7" w:rsidRPr="00D9690A" w:rsidRDefault="00E249B7" w:rsidP="00E249B7">
      <w:pPr>
        <w:pStyle w:val="Textoindependiente"/>
        <w:spacing w:line="242" w:lineRule="auto"/>
        <w:ind w:left="100" w:right="119"/>
        <w:jc w:val="both"/>
        <w:rPr>
          <w:lang w:val="es-CO"/>
        </w:rPr>
      </w:pPr>
      <w:r w:rsidRPr="00D9690A">
        <w:rPr>
          <w:lang w:val="es-CO"/>
        </w:rPr>
        <w:t>De esta forma, la potestad del Estado para intervenir en el mercado encuentra justificación en la obligación de alcanzar los fines que le son propios, los cuales están consagrados en los artículos 64, 65 y 66 de la Constitución (C. Constitucional, C-398 de 1995). En este sentido, la Corte Constitucional</w:t>
      </w:r>
      <w:r w:rsidRPr="00D9690A">
        <w:rPr>
          <w:spacing w:val="51"/>
          <w:lang w:val="es-CO"/>
        </w:rPr>
        <w:t xml:space="preserve"> </w:t>
      </w:r>
      <w:r w:rsidRPr="00D9690A">
        <w:rPr>
          <w:lang w:val="es-CO"/>
        </w:rPr>
        <w:t>ha establecido que:</w:t>
      </w:r>
    </w:p>
    <w:p w:rsidR="00E249B7" w:rsidRDefault="00E249B7" w:rsidP="00E249B7">
      <w:pPr>
        <w:spacing w:line="242" w:lineRule="auto"/>
        <w:jc w:val="both"/>
        <w:rPr>
          <w:lang w:val="es-CO"/>
        </w:rPr>
      </w:pPr>
    </w:p>
    <w:p w:rsidR="00E249B7" w:rsidRDefault="00E249B7" w:rsidP="00E249B7">
      <w:pPr>
        <w:spacing w:line="242" w:lineRule="auto"/>
        <w:jc w:val="both"/>
        <w:rPr>
          <w:lang w:val="es-CO"/>
        </w:rPr>
      </w:pPr>
    </w:p>
    <w:p w:rsidR="00E249B7" w:rsidRPr="00D9690A" w:rsidRDefault="00E249B7" w:rsidP="00E249B7">
      <w:pPr>
        <w:pStyle w:val="Textoindependiente"/>
        <w:spacing w:before="93" w:line="242" w:lineRule="auto"/>
        <w:ind w:left="1060" w:right="119" w:firstLine="960"/>
        <w:jc w:val="both"/>
        <w:rPr>
          <w:lang w:val="es-CO"/>
        </w:rPr>
      </w:pPr>
      <w:r w:rsidRPr="00D9690A">
        <w:rPr>
          <w:spacing w:val="5"/>
          <w:lang w:val="es-CO"/>
        </w:rPr>
        <w:t xml:space="preserve">“(...) </w:t>
      </w:r>
      <w:r w:rsidRPr="00D9690A">
        <w:rPr>
          <w:spacing w:val="4"/>
          <w:lang w:val="es-CO"/>
        </w:rPr>
        <w:t xml:space="preserve">las </w:t>
      </w:r>
      <w:r w:rsidRPr="00D9690A">
        <w:rPr>
          <w:spacing w:val="6"/>
          <w:lang w:val="es-CO"/>
        </w:rPr>
        <w:t xml:space="preserve">libertades económicas </w:t>
      </w:r>
      <w:r w:rsidRPr="00D9690A">
        <w:rPr>
          <w:spacing w:val="3"/>
          <w:lang w:val="es-CO"/>
        </w:rPr>
        <w:t xml:space="preserve">no </w:t>
      </w:r>
      <w:r w:rsidRPr="00D9690A">
        <w:rPr>
          <w:spacing w:val="4"/>
          <w:lang w:val="es-CO"/>
        </w:rPr>
        <w:t xml:space="preserve">son </w:t>
      </w:r>
      <w:r w:rsidRPr="00D9690A">
        <w:rPr>
          <w:spacing w:val="6"/>
          <w:lang w:val="es-CO"/>
        </w:rPr>
        <w:t xml:space="preserve">absolutas. </w:t>
      </w:r>
      <w:r w:rsidRPr="00D9690A">
        <w:rPr>
          <w:spacing w:val="5"/>
          <w:lang w:val="es-CO"/>
        </w:rPr>
        <w:t xml:space="preserve">Esta </w:t>
      </w:r>
      <w:r w:rsidRPr="00D9690A">
        <w:rPr>
          <w:lang w:val="es-CO"/>
        </w:rPr>
        <w:t>disposición señala que la empresa tiene una función social que implica obligaciones, prevé que la libre competencia supone responsabilidades, e indica que la ley delimitará el alcance de la libertad económica “cuando así lo exijan el interés social, el ambiente y el patrimonio cultural de la Nación”. Con base en esta disposición de la Carta, la</w:t>
      </w:r>
      <w:r w:rsidRPr="00D9690A">
        <w:rPr>
          <w:spacing w:val="54"/>
          <w:lang w:val="es-CO"/>
        </w:rPr>
        <w:t xml:space="preserve"> </w:t>
      </w:r>
      <w:r w:rsidRPr="00D9690A">
        <w:rPr>
          <w:lang w:val="es-CO"/>
        </w:rPr>
        <w:t xml:space="preserve">jurisprudencia </w:t>
      </w:r>
      <w:r w:rsidRPr="00D9690A">
        <w:rPr>
          <w:spacing w:val="7"/>
          <w:lang w:val="es-CO"/>
        </w:rPr>
        <w:t xml:space="preserve">constitucional </w:t>
      </w:r>
      <w:r w:rsidRPr="00D9690A">
        <w:rPr>
          <w:spacing w:val="4"/>
          <w:lang w:val="es-CO"/>
        </w:rPr>
        <w:t xml:space="preserve">ha </w:t>
      </w:r>
      <w:r w:rsidRPr="00D9690A">
        <w:rPr>
          <w:spacing w:val="7"/>
          <w:lang w:val="es-CO"/>
        </w:rPr>
        <w:t xml:space="preserve">concluido </w:t>
      </w:r>
      <w:r w:rsidRPr="00D9690A">
        <w:rPr>
          <w:spacing w:val="5"/>
          <w:lang w:val="es-CO"/>
        </w:rPr>
        <w:t xml:space="preserve">que las </w:t>
      </w:r>
      <w:r w:rsidRPr="00D9690A">
        <w:rPr>
          <w:spacing w:val="7"/>
          <w:lang w:val="es-CO"/>
        </w:rPr>
        <w:t xml:space="preserve">libertades económicas </w:t>
      </w:r>
      <w:r w:rsidRPr="00D9690A">
        <w:rPr>
          <w:spacing w:val="5"/>
          <w:lang w:val="es-CO"/>
        </w:rPr>
        <w:t xml:space="preserve">son </w:t>
      </w:r>
      <w:r w:rsidRPr="00D9690A">
        <w:rPr>
          <w:lang w:val="es-CO"/>
        </w:rPr>
        <w:t xml:space="preserve">reconocidas a los particulares por motivos de interés público”. [Con referencia a la sentencia C-615 de 2002, </w:t>
      </w:r>
      <w:r w:rsidRPr="00D9690A">
        <w:rPr>
          <w:spacing w:val="-7"/>
          <w:lang w:val="es-CO"/>
        </w:rPr>
        <w:t xml:space="preserve">M.P.: </w:t>
      </w:r>
      <w:r w:rsidRPr="00D9690A">
        <w:rPr>
          <w:lang w:val="es-CO"/>
        </w:rPr>
        <w:t>Marco Gerardo Monroy Cabra].</w:t>
      </w:r>
    </w:p>
    <w:p w:rsidR="00E249B7" w:rsidRPr="00D9690A" w:rsidRDefault="00E249B7" w:rsidP="00E249B7">
      <w:pPr>
        <w:pStyle w:val="Textoindependiente"/>
        <w:spacing w:before="5"/>
        <w:rPr>
          <w:sz w:val="25"/>
          <w:lang w:val="es-CO"/>
        </w:rPr>
      </w:pPr>
    </w:p>
    <w:p w:rsidR="00E249B7" w:rsidRPr="00D9690A" w:rsidRDefault="00E249B7" w:rsidP="00E249B7">
      <w:pPr>
        <w:pStyle w:val="Textoindependiente"/>
        <w:spacing w:line="242" w:lineRule="auto"/>
        <w:ind w:left="100" w:right="118"/>
        <w:jc w:val="both"/>
        <w:rPr>
          <w:lang w:val="es-CO"/>
        </w:rPr>
      </w:pPr>
      <w:r w:rsidRPr="00D9690A">
        <w:rPr>
          <w:lang w:val="es-CO"/>
        </w:rPr>
        <w:t xml:space="preserve">En este sentido, la Corte ha sido clara en que las limitaciones a la libertad de empresa es perfectamente admisible cuando se realizan con el fin de proteger el interés público. Por este motivo, es fundamental establecer cuándo se configura el interés público en materia de libre competencia. La Corte en sentencia C-032 de 2017 reitera que “el núcleo esencial del derecho a la libre competencia económica consiste en la posibilidad de acceso al mercado por parte de los oferentes sin barreras injustificadas” (esta posición se adoptó inicialmente en la </w:t>
      </w:r>
      <w:r w:rsidRPr="00D9690A">
        <w:rPr>
          <w:lang w:val="es-CO"/>
        </w:rPr>
        <w:lastRenderedPageBreak/>
        <w:t>sentencia C-228</w:t>
      </w:r>
    </w:p>
    <w:p w:rsidR="00E249B7" w:rsidRDefault="00E249B7" w:rsidP="00E249B7">
      <w:pPr>
        <w:pStyle w:val="Textoindependiente"/>
        <w:spacing w:before="1"/>
        <w:rPr>
          <w:sz w:val="25"/>
          <w:lang w:val="es-CO"/>
        </w:rPr>
      </w:pPr>
    </w:p>
    <w:p w:rsidR="00E249B7" w:rsidRDefault="00E249B7" w:rsidP="00E249B7">
      <w:pPr>
        <w:pStyle w:val="Textoindependiente"/>
        <w:spacing w:before="1"/>
        <w:rPr>
          <w:sz w:val="25"/>
          <w:lang w:val="es-CO"/>
        </w:rPr>
      </w:pPr>
    </w:p>
    <w:p w:rsidR="00E249B7" w:rsidRDefault="00E249B7" w:rsidP="00E249B7">
      <w:pPr>
        <w:pStyle w:val="Textoindependiente"/>
        <w:spacing w:before="1"/>
        <w:rPr>
          <w:sz w:val="25"/>
          <w:lang w:val="es-CO"/>
        </w:rPr>
      </w:pPr>
    </w:p>
    <w:p w:rsidR="00E249B7" w:rsidRDefault="00E249B7" w:rsidP="00E249B7">
      <w:pPr>
        <w:pStyle w:val="Textoindependiente"/>
        <w:spacing w:before="1"/>
        <w:rPr>
          <w:sz w:val="25"/>
          <w:lang w:val="es-CO"/>
        </w:rPr>
      </w:pPr>
    </w:p>
    <w:p w:rsidR="00E249B7" w:rsidRDefault="00E249B7" w:rsidP="00E249B7">
      <w:pPr>
        <w:pStyle w:val="Textoindependiente"/>
        <w:spacing w:before="1"/>
        <w:rPr>
          <w:sz w:val="25"/>
          <w:lang w:val="es-CO"/>
        </w:rPr>
      </w:pPr>
    </w:p>
    <w:p w:rsidR="00E249B7" w:rsidRPr="00D9690A" w:rsidRDefault="00E249B7" w:rsidP="00E249B7">
      <w:pPr>
        <w:pStyle w:val="Textoindependiente"/>
        <w:spacing w:before="1"/>
        <w:rPr>
          <w:sz w:val="25"/>
          <w:lang w:val="es-CO"/>
        </w:rPr>
      </w:pPr>
    </w:p>
    <w:p w:rsidR="00E249B7" w:rsidRDefault="00E249B7" w:rsidP="00E249B7">
      <w:pPr>
        <w:pStyle w:val="Textoindependiente"/>
        <w:spacing w:line="242" w:lineRule="auto"/>
        <w:ind w:left="100" w:right="119"/>
        <w:jc w:val="both"/>
        <w:rPr>
          <w:lang w:val="es-CO"/>
        </w:rPr>
      </w:pPr>
      <w:r w:rsidRPr="00D9690A">
        <w:rPr>
          <w:lang w:val="es-CO"/>
        </w:rPr>
        <w:t>de 2010). Asimismo, la Corte tiene jurisprudencia estable frente a las distintas caras del derecho a la libre competencia, en sentencia C-032 de 2017, estableció que:</w:t>
      </w:r>
    </w:p>
    <w:p w:rsidR="00E249B7" w:rsidRPr="00D9690A" w:rsidRDefault="00E249B7" w:rsidP="00E249B7">
      <w:pPr>
        <w:pStyle w:val="Textoindependiente"/>
        <w:spacing w:line="242" w:lineRule="auto"/>
        <w:ind w:left="100" w:right="119"/>
        <w:jc w:val="both"/>
        <w:rPr>
          <w:lang w:val="es-CO"/>
        </w:rPr>
      </w:pPr>
    </w:p>
    <w:p w:rsidR="00E249B7" w:rsidRPr="00D9690A" w:rsidRDefault="00E249B7" w:rsidP="00E249B7">
      <w:pPr>
        <w:pStyle w:val="Textoindependiente"/>
        <w:spacing w:before="4" w:line="242" w:lineRule="auto"/>
        <w:ind w:left="1060" w:right="119" w:firstLine="960"/>
        <w:jc w:val="both"/>
        <w:rPr>
          <w:lang w:val="es-CO"/>
        </w:rPr>
      </w:pPr>
      <w:r w:rsidRPr="00D9690A">
        <w:rPr>
          <w:lang w:val="es-CO"/>
        </w:rPr>
        <w:t>“La libre competencia, por su parte, consiste en la facultad que tienen todos los empresarios de orientar sus esfuerzos, factores empresariales y de producción a la conquista de un mercado, en un marco de igualdad de condiciones. Según la jurisprudencia constitucional, esta libertad comprende al menos tres prerrogativas: (i) la posibilidad de concurrir al mercado, (ii) la libertad de ofrecer las condiciones y ventajas comerciales que se estimen oportunas, y (iii) la posibilidad de contratar con cualquier consumidor o usuario. En este orden de ideas, esta libertad también es una garantía para los consumidores, quienes en virtud de ella pueden contratar con quien</w:t>
      </w:r>
      <w:r>
        <w:rPr>
          <w:lang w:val="es-CO"/>
        </w:rPr>
        <w:t xml:space="preserve"> </w:t>
      </w:r>
      <w:r w:rsidRPr="00D9690A">
        <w:rPr>
          <w:lang w:val="es-CO"/>
        </w:rPr>
        <w:t xml:space="preserve">ofrezca las mejores condiciones dentro del marco de la ley y se benefician de las ventajas de la pluralidad de oferentes en términos de precio y calidad de los bienes y servicios, entre otros.” (Posición adoptada también en Sentencia C-909 de 2012 </w:t>
      </w:r>
      <w:r w:rsidRPr="00D9690A">
        <w:rPr>
          <w:spacing w:val="-8"/>
          <w:lang w:val="es-CO"/>
        </w:rPr>
        <w:t xml:space="preserve">M.P. </w:t>
      </w:r>
      <w:r w:rsidRPr="00D9690A">
        <w:rPr>
          <w:lang w:val="es-CO"/>
        </w:rPr>
        <w:t xml:space="preserve">Nilson Pinilla Pinilla, Consideración Quinta, usando como intertextos la sentencias C-197 de 2012 </w:t>
      </w:r>
      <w:r w:rsidRPr="00D9690A">
        <w:rPr>
          <w:spacing w:val="-8"/>
          <w:lang w:val="es-CO"/>
        </w:rPr>
        <w:t xml:space="preserve">M.P. </w:t>
      </w:r>
      <w:r w:rsidRPr="00D9690A">
        <w:rPr>
          <w:lang w:val="es-CO"/>
        </w:rPr>
        <w:t xml:space="preserve">Jorge Ignacio Pretelt Chaljub, C-992 de 2006 </w:t>
      </w:r>
      <w:r w:rsidRPr="00D9690A">
        <w:rPr>
          <w:spacing w:val="-8"/>
          <w:lang w:val="es-CO"/>
        </w:rPr>
        <w:t xml:space="preserve">M.P. </w:t>
      </w:r>
      <w:r w:rsidRPr="00D9690A">
        <w:rPr>
          <w:lang w:val="es-CO"/>
        </w:rPr>
        <w:t xml:space="preserve">Álvaro </w:t>
      </w:r>
      <w:r w:rsidRPr="00D9690A">
        <w:rPr>
          <w:spacing w:val="-6"/>
          <w:lang w:val="es-CO"/>
        </w:rPr>
        <w:t xml:space="preserve">Tafur </w:t>
      </w:r>
      <w:r w:rsidRPr="00D9690A">
        <w:rPr>
          <w:lang w:val="es-CO"/>
        </w:rPr>
        <w:t xml:space="preserve">Galvis, C-616 de 2001 </w:t>
      </w:r>
      <w:r w:rsidRPr="00D9690A">
        <w:rPr>
          <w:spacing w:val="-8"/>
          <w:lang w:val="es-CO"/>
        </w:rPr>
        <w:t xml:space="preserve">M.P. </w:t>
      </w:r>
      <w:r w:rsidRPr="00D9690A">
        <w:rPr>
          <w:lang w:val="es-CO"/>
        </w:rPr>
        <w:t xml:space="preserve">Rodrigo Escobar Gil, C-815 de 2001 </w:t>
      </w:r>
      <w:r w:rsidRPr="00D9690A">
        <w:rPr>
          <w:spacing w:val="-8"/>
          <w:lang w:val="es-CO"/>
        </w:rPr>
        <w:t xml:space="preserve">M.P. </w:t>
      </w:r>
      <w:r w:rsidRPr="00D9690A">
        <w:rPr>
          <w:lang w:val="es-CO"/>
        </w:rPr>
        <w:t xml:space="preserve">Rodrigo Escobar Gil y C-389 de 2002 </w:t>
      </w:r>
      <w:r w:rsidRPr="00D9690A">
        <w:rPr>
          <w:spacing w:val="-8"/>
          <w:lang w:val="es-CO"/>
        </w:rPr>
        <w:t xml:space="preserve">M.P. </w:t>
      </w:r>
      <w:r w:rsidRPr="00D9690A">
        <w:rPr>
          <w:lang w:val="es-CO"/>
        </w:rPr>
        <w:t xml:space="preserve">Clara Inés </w:t>
      </w:r>
      <w:r w:rsidRPr="00D9690A">
        <w:rPr>
          <w:spacing w:val="-3"/>
          <w:lang w:val="es-CO"/>
        </w:rPr>
        <w:t>Vargas</w:t>
      </w:r>
      <w:r w:rsidRPr="00D9690A">
        <w:rPr>
          <w:spacing w:val="6"/>
          <w:lang w:val="es-CO"/>
        </w:rPr>
        <w:t xml:space="preserve"> </w:t>
      </w:r>
      <w:r w:rsidRPr="00D9690A">
        <w:rPr>
          <w:lang w:val="es-CO"/>
        </w:rPr>
        <w:t>Hernández)</w:t>
      </w:r>
    </w:p>
    <w:p w:rsidR="00E249B7" w:rsidRDefault="00E249B7" w:rsidP="00E249B7">
      <w:pPr>
        <w:pStyle w:val="Textoindependiente"/>
        <w:spacing w:before="3"/>
        <w:rPr>
          <w:sz w:val="25"/>
          <w:lang w:val="es-CO"/>
        </w:rPr>
      </w:pPr>
    </w:p>
    <w:p w:rsidR="00E249B7" w:rsidRPr="00D9690A" w:rsidRDefault="00E249B7" w:rsidP="00E249B7">
      <w:pPr>
        <w:pStyle w:val="Textoindependiente"/>
        <w:spacing w:before="3"/>
        <w:rPr>
          <w:sz w:val="25"/>
          <w:lang w:val="es-CO"/>
        </w:rPr>
      </w:pPr>
    </w:p>
    <w:p w:rsidR="00E249B7" w:rsidRPr="00D9690A" w:rsidRDefault="00E249B7" w:rsidP="00E249B7">
      <w:pPr>
        <w:pStyle w:val="Textoindependiente"/>
        <w:spacing w:line="242" w:lineRule="auto"/>
        <w:ind w:left="100" w:right="119"/>
        <w:jc w:val="both"/>
        <w:rPr>
          <w:lang w:val="es-CO"/>
        </w:rPr>
      </w:pPr>
      <w:r w:rsidRPr="00D9690A">
        <w:rPr>
          <w:lang w:val="es-CO"/>
        </w:rPr>
        <w:t>Así pues, el problema de la carencia de capital de trabajo</w:t>
      </w:r>
      <w:r>
        <w:rPr>
          <w:rStyle w:val="Refdenotaalpie"/>
          <w:lang w:val="es-CO"/>
        </w:rPr>
        <w:footnoteReference w:id="2"/>
      </w:r>
      <w:r w:rsidRPr="00D9690A">
        <w:rPr>
          <w:lang w:val="es-CO"/>
        </w:rPr>
        <w:t xml:space="preserve"> de las Mipymes que se </w:t>
      </w:r>
      <w:r w:rsidRPr="00D9690A">
        <w:rPr>
          <w:lang w:val="es-CO"/>
        </w:rPr>
        <w:lastRenderedPageBreak/>
        <w:t>produce con ocasión de los extensos plazos de pago de las grandes empresas genera una barrera de entrada al mercado y viola el planteamiento de la Corte frente a la concepción de libre competencia de la posibilidad de contratar con cualquier consumidor o usuario. Esta situación controvierte abiertamente los</w:t>
      </w:r>
    </w:p>
    <w:p w:rsidR="00E249B7" w:rsidRDefault="00E249B7" w:rsidP="00E249B7">
      <w:pPr>
        <w:pStyle w:val="Textoindependiente"/>
        <w:spacing w:before="10"/>
        <w:rPr>
          <w:lang w:val="es-CO"/>
        </w:rPr>
      </w:pPr>
    </w:p>
    <w:p w:rsidR="00E249B7" w:rsidRDefault="00E249B7" w:rsidP="00E249B7">
      <w:pPr>
        <w:pStyle w:val="Textoindependiente"/>
        <w:spacing w:before="10"/>
        <w:rPr>
          <w:lang w:val="es-CO"/>
        </w:rPr>
      </w:pPr>
    </w:p>
    <w:p w:rsidR="00E249B7" w:rsidRDefault="00E249B7" w:rsidP="00E249B7">
      <w:pPr>
        <w:pStyle w:val="Textoindependiente"/>
        <w:spacing w:before="10"/>
        <w:rPr>
          <w:lang w:val="es-CO"/>
        </w:rPr>
      </w:pPr>
    </w:p>
    <w:p w:rsidR="00E249B7" w:rsidRDefault="00E249B7" w:rsidP="00E249B7">
      <w:pPr>
        <w:pStyle w:val="Textoindependiente"/>
        <w:spacing w:before="10"/>
        <w:rPr>
          <w:lang w:val="es-CO"/>
        </w:rPr>
      </w:pPr>
    </w:p>
    <w:p w:rsidR="00E249B7" w:rsidRPr="00D9690A" w:rsidRDefault="00E249B7" w:rsidP="00E249B7">
      <w:pPr>
        <w:pStyle w:val="Textoindependiente"/>
        <w:spacing w:line="242" w:lineRule="auto"/>
        <w:ind w:left="100" w:right="119"/>
        <w:jc w:val="both"/>
        <w:rPr>
          <w:lang w:val="es-CO"/>
        </w:rPr>
      </w:pPr>
      <w:r w:rsidRPr="00D9690A">
        <w:rPr>
          <w:lang w:val="es-CO"/>
        </w:rPr>
        <w:t>postulados constitucionales, dado que para poder contratar con una mayoría considerable de los actores del mercado se requieren elevadas cantidades de capital de trabajo para no correr riesgos de desfinanciación; lo cual constituye una barrera de entrada al mercado para las Mipymes que no poseen estas cantidades de capital y, que si llegarán a contratar con alguno de estos actores que tienen plazos de pagos a más de 60 días, el riesgo de iliquidez aumenta significativamente al no tener flujo de caja que les permita pagar sus costos y gastos mensuales.</w:t>
      </w:r>
    </w:p>
    <w:p w:rsidR="00E249B7" w:rsidRPr="00D9690A" w:rsidRDefault="00E249B7" w:rsidP="00E249B7">
      <w:pPr>
        <w:pStyle w:val="Textoindependiente"/>
        <w:spacing w:before="3"/>
        <w:rPr>
          <w:sz w:val="25"/>
          <w:lang w:val="es-CO"/>
        </w:rPr>
      </w:pPr>
    </w:p>
    <w:p w:rsidR="00E249B7" w:rsidRPr="00D9690A" w:rsidRDefault="00E249B7" w:rsidP="00E249B7">
      <w:pPr>
        <w:pStyle w:val="Textoindependiente"/>
        <w:spacing w:line="242" w:lineRule="auto"/>
        <w:ind w:left="100" w:right="119"/>
        <w:jc w:val="both"/>
        <w:rPr>
          <w:lang w:val="es-CO"/>
        </w:rPr>
      </w:pPr>
      <w:r w:rsidRPr="00D9690A">
        <w:rPr>
          <w:lang w:val="es-CO"/>
        </w:rPr>
        <w:t>En conclusión, es necesario que el Estado use sus facultades para intervenir el mercado para garantizar el acceso de las Mipymes al mercado y eliminar estas prácticas que afectan la libertad económica. Por este motivo se propone este proyecto de ley como forma de equilibrar las cargas en el mercado.</w:t>
      </w:r>
    </w:p>
    <w:p w:rsidR="00E249B7" w:rsidRPr="00D9690A" w:rsidRDefault="00E249B7" w:rsidP="00E249B7">
      <w:pPr>
        <w:pStyle w:val="Textoindependiente"/>
        <w:rPr>
          <w:sz w:val="26"/>
          <w:lang w:val="es-CO"/>
        </w:rPr>
      </w:pPr>
    </w:p>
    <w:p w:rsidR="00E249B7" w:rsidRPr="00D9690A" w:rsidRDefault="00E249B7" w:rsidP="00E249B7">
      <w:pPr>
        <w:pStyle w:val="Textoindependiente"/>
        <w:spacing w:before="1"/>
        <w:rPr>
          <w:sz w:val="23"/>
          <w:lang w:val="es-CO"/>
        </w:rPr>
      </w:pPr>
    </w:p>
    <w:p w:rsidR="00E249B7" w:rsidRPr="00D9690A" w:rsidRDefault="00E249B7" w:rsidP="00E249B7">
      <w:pPr>
        <w:pStyle w:val="Textoindependiente"/>
        <w:ind w:left="100"/>
        <w:jc w:val="both"/>
        <w:rPr>
          <w:lang w:val="es-CO"/>
        </w:rPr>
      </w:pPr>
      <w:r w:rsidRPr="00D9690A">
        <w:rPr>
          <w:lang w:val="es-CO"/>
        </w:rPr>
        <w:t>Cordialmente,</w:t>
      </w:r>
    </w:p>
    <w:p w:rsidR="00E249B7" w:rsidRPr="00D9690A" w:rsidRDefault="00E249B7" w:rsidP="00E249B7">
      <w:pPr>
        <w:pStyle w:val="Textoindependiente"/>
        <w:rPr>
          <w:sz w:val="26"/>
          <w:lang w:val="es-CO"/>
        </w:rPr>
      </w:pPr>
    </w:p>
    <w:p w:rsidR="00E249B7" w:rsidRPr="00D9690A" w:rsidRDefault="00E249B7" w:rsidP="00E249B7">
      <w:pPr>
        <w:pStyle w:val="Textoindependiente"/>
        <w:rPr>
          <w:sz w:val="26"/>
          <w:lang w:val="es-CO"/>
        </w:rPr>
      </w:pPr>
    </w:p>
    <w:p w:rsidR="00E249B7" w:rsidRDefault="00E249B7" w:rsidP="00E249B7">
      <w:pPr>
        <w:pStyle w:val="Textoindependiente"/>
        <w:rPr>
          <w:sz w:val="26"/>
          <w:lang w:val="es-CO"/>
        </w:rPr>
      </w:pPr>
    </w:p>
    <w:p w:rsidR="00E249B7" w:rsidRPr="00D9690A" w:rsidRDefault="00E249B7" w:rsidP="00E249B7">
      <w:pPr>
        <w:pStyle w:val="Textoindependiente"/>
        <w:rPr>
          <w:sz w:val="26"/>
          <w:lang w:val="es-CO"/>
        </w:rPr>
      </w:pPr>
    </w:p>
    <w:p w:rsidR="00E249B7" w:rsidRPr="003A75FE" w:rsidRDefault="00E249B7" w:rsidP="00E249B7">
      <w:pPr>
        <w:pStyle w:val="Sinespaciado"/>
        <w:rPr>
          <w:b/>
          <w:lang w:val="es-CO"/>
        </w:rPr>
      </w:pPr>
      <w:r w:rsidRPr="003A75FE">
        <w:rPr>
          <w:b/>
          <w:lang w:val="es-CO"/>
        </w:rPr>
        <w:t>MAURICIO TORO ORJUELA</w:t>
      </w:r>
    </w:p>
    <w:p w:rsidR="00E249B7" w:rsidRPr="003A75FE" w:rsidRDefault="00E249B7" w:rsidP="00E249B7">
      <w:pPr>
        <w:pStyle w:val="Sinespaciado"/>
        <w:rPr>
          <w:sz w:val="24"/>
          <w:lang w:val="es-CO"/>
        </w:rPr>
      </w:pPr>
      <w:r w:rsidRPr="003A75FE">
        <w:rPr>
          <w:sz w:val="24"/>
          <w:lang w:val="es-CO"/>
        </w:rPr>
        <w:t xml:space="preserve">Representante a la Cámara- Bogotá </w:t>
      </w:r>
    </w:p>
    <w:p w:rsidR="00E249B7" w:rsidRPr="003A75FE" w:rsidRDefault="00E249B7" w:rsidP="00E249B7">
      <w:pPr>
        <w:pStyle w:val="Sinespaciado"/>
        <w:rPr>
          <w:sz w:val="24"/>
          <w:lang w:val="es-CO"/>
        </w:rPr>
      </w:pPr>
      <w:r w:rsidRPr="003A75FE">
        <w:rPr>
          <w:sz w:val="24"/>
          <w:lang w:val="es-CO"/>
        </w:rPr>
        <w:t>Partido Alianza Verde</w:t>
      </w:r>
    </w:p>
    <w:p w:rsidR="00E249B7" w:rsidRPr="00D25DB7" w:rsidRDefault="00E249B7" w:rsidP="00074D1F">
      <w:pPr>
        <w:tabs>
          <w:tab w:val="left" w:pos="5340"/>
          <w:tab w:val="left" w:pos="7540"/>
        </w:tabs>
        <w:rPr>
          <w:rFonts w:ascii="Arial" w:hAnsi="Arial" w:cs="Arial"/>
          <w:sz w:val="22"/>
          <w:szCs w:val="22"/>
          <w:lang w:val="es-CO"/>
        </w:rPr>
      </w:pPr>
      <w:bookmarkStart w:id="0" w:name="_GoBack"/>
      <w:bookmarkEnd w:id="0"/>
    </w:p>
    <w:sectPr w:rsidR="00E249B7" w:rsidRPr="00D25DB7">
      <w:headerReference w:type="default" r:id="rId9"/>
      <w:footerReference w:type="default" r:id="rId10"/>
      <w:pgSz w:w="12240" w:h="15840"/>
      <w:pgMar w:top="1417" w:right="1701" w:bottom="1417" w:left="1701" w:header="708"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003" w:rsidRDefault="003F1003">
      <w:r>
        <w:separator/>
      </w:r>
    </w:p>
  </w:endnote>
  <w:endnote w:type="continuationSeparator" w:id="0">
    <w:p w:rsidR="003F1003" w:rsidRDefault="003F1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9B7" w:rsidRDefault="00E249B7">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E61" w:rsidRDefault="00B03E61">
    <w:pPr>
      <w:pStyle w:val="Sinespaciado"/>
      <w:jc w:val="both"/>
      <w:rPr>
        <w:rFonts w:ascii="Calibri Light" w:eastAsia="Calibri Light" w:hAnsi="Calibri Light" w:cs="Calibri Light"/>
        <w:sz w:val="24"/>
        <w:szCs w:val="24"/>
      </w:rPr>
    </w:pPr>
  </w:p>
  <w:p w:rsidR="00B03E61" w:rsidRDefault="00D431D9">
    <w:pPr>
      <w:pStyle w:val="Cuerpo"/>
      <w:tabs>
        <w:tab w:val="left" w:pos="5023"/>
      </w:tabs>
      <w:jc w:val="center"/>
    </w:pPr>
    <w:r>
      <w:rPr>
        <w:noProof/>
      </w:rPr>
      <w:drawing>
        <wp:inline distT="0" distB="0" distL="0" distR="0">
          <wp:extent cx="3115310" cy="266065"/>
          <wp:effectExtent l="0" t="0" r="0" b="0"/>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1">
                    <a:extLst/>
                  </a:blip>
                  <a:stretch>
                    <a:fillRect/>
                  </a:stretch>
                </pic:blipFill>
                <pic:spPr>
                  <a:xfrm>
                    <a:off x="0" y="0"/>
                    <a:ext cx="3115310" cy="266065"/>
                  </a:xfrm>
                  <a:prstGeom prst="rect">
                    <a:avLst/>
                  </a:prstGeom>
                  <a:ln w="12700" cap="flat">
                    <a:noFill/>
                    <a:miter lim="400000"/>
                  </a:ln>
                  <a:effectLst/>
                </pic:spPr>
              </pic:pic>
            </a:graphicData>
          </a:graphic>
        </wp:inline>
      </w:drawing>
    </w:r>
  </w:p>
  <w:p w:rsidR="00B03E61" w:rsidRDefault="00D431D9">
    <w:pPr>
      <w:pStyle w:val="Piedepgina"/>
      <w:jc w:val="center"/>
      <w:rPr>
        <w:rStyle w:val="Ninguno"/>
        <w:rFonts w:ascii="Times New Roman" w:eastAsia="Times New Roman" w:hAnsi="Times New Roman" w:cs="Times New Roman"/>
        <w:spacing w:val="60"/>
        <w:sz w:val="15"/>
        <w:szCs w:val="15"/>
      </w:rPr>
    </w:pPr>
    <w:r>
      <w:rPr>
        <w:rStyle w:val="Ninguno"/>
        <w:rFonts w:ascii="Times New Roman" w:hAnsi="Times New Roman"/>
        <w:spacing w:val="60"/>
        <w:sz w:val="15"/>
        <w:szCs w:val="15"/>
      </w:rPr>
      <w:t xml:space="preserve">Cra. 7 No. 8-68 Edificio Nuevo del Congreso Of. 448B. </w:t>
    </w:r>
  </w:p>
  <w:p w:rsidR="00B03E61" w:rsidRDefault="00D431D9">
    <w:pPr>
      <w:pStyle w:val="Piedepgina"/>
      <w:jc w:val="center"/>
    </w:pPr>
    <w:r>
      <w:rPr>
        <w:rStyle w:val="Ninguno"/>
        <w:rFonts w:ascii="Times New Roman" w:hAnsi="Times New Roman"/>
        <w:spacing w:val="60"/>
        <w:sz w:val="15"/>
        <w:szCs w:val="15"/>
      </w:rPr>
      <w:t xml:space="preserve">Tel: 3823441 </w:t>
    </w:r>
    <w:r>
      <w:rPr>
        <w:rStyle w:val="Ninguno"/>
        <w:rFonts w:ascii="Times New Roman" w:hAnsi="Times New Roman"/>
        <w:spacing w:val="56"/>
        <w:sz w:val="15"/>
        <w:szCs w:val="15"/>
      </w:rPr>
      <w:t>info@mauriciotoro.co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003" w:rsidRDefault="003F1003">
      <w:r>
        <w:separator/>
      </w:r>
    </w:p>
  </w:footnote>
  <w:footnote w:type="continuationSeparator" w:id="0">
    <w:p w:rsidR="003F1003" w:rsidRDefault="003F1003">
      <w:r>
        <w:continuationSeparator/>
      </w:r>
    </w:p>
  </w:footnote>
  <w:footnote w:id="1">
    <w:p w:rsidR="00E249B7" w:rsidRPr="00D9690A" w:rsidRDefault="00E249B7" w:rsidP="00E249B7">
      <w:pPr>
        <w:pStyle w:val="Textonotapie"/>
        <w:rPr>
          <w:lang w:val="es-CO"/>
        </w:rPr>
      </w:pPr>
      <w:r w:rsidRPr="00D9690A">
        <w:rPr>
          <w:rStyle w:val="Refdenotaalpie"/>
        </w:rPr>
        <w:footnoteRef/>
      </w:r>
      <w:r w:rsidRPr="00D9690A">
        <w:t xml:space="preserve"> Audretsch,B. David (2012). Determinants of High-Growth Entrepreneurship Report prepared for the OECD/DBA. International Workshop on High-growth firms: local policies and local determinants.</w:t>
      </w:r>
    </w:p>
  </w:footnote>
  <w:footnote w:id="2">
    <w:p w:rsidR="00E249B7" w:rsidRDefault="00E249B7" w:rsidP="00E249B7">
      <w:pPr>
        <w:pStyle w:val="NormalWeb"/>
        <w:spacing w:before="0" w:beforeAutospacing="0" w:after="0" w:afterAutospacing="0"/>
      </w:pPr>
      <w:r>
        <w:rPr>
          <w:rStyle w:val="Refdenotaalpie"/>
        </w:rPr>
        <w:footnoteRef/>
      </w:r>
      <w:r>
        <w:t xml:space="preserve"> </w:t>
      </w:r>
      <w:r>
        <w:rPr>
          <w:rFonts w:ascii="Calibri" w:hAnsi="Calibri" w:cs="Calibri"/>
          <w:color w:val="000000"/>
          <w:sz w:val="20"/>
          <w:szCs w:val="20"/>
        </w:rPr>
        <w:t xml:space="preserve">Capital de trabajo se define como “las diferentes cuentas que conforman los rubros que se clasifican como activo corriente: Caja, Deudores, Inventarios, Inversiones, etc.” (Sinisterra, G; Polanco, L; Henao, H (2011) p. 321) Ver: Sinisterra, G; Polanco, L; Henao, H (2011) Contabilidad: Sistema de información para las organizaciones. McGRAW-HILL INTERAMERICANA, S. A. </w:t>
      </w:r>
    </w:p>
    <w:p w:rsidR="00E249B7" w:rsidRDefault="00E249B7" w:rsidP="00E249B7">
      <w:pPr>
        <w:pStyle w:val="NormalWeb"/>
        <w:spacing w:before="0" w:beforeAutospacing="0" w:after="0" w:afterAutospacing="0"/>
      </w:pPr>
      <w:r>
        <w:rPr>
          <w:rFonts w:ascii="Calibri" w:hAnsi="Calibri" w:cs="Calibri"/>
          <w:color w:val="000000"/>
          <w:sz w:val="20"/>
          <w:szCs w:val="20"/>
        </w:rPr>
        <w:t>El capital de trabajo toma relevancia dado que la mayoría de los movimientos financieros normales están relacionados con este tipo de cuentas, aún más especial en empresas comerciales y de servicio, y la    posibilidad de aumentar volúmenes de ventas a través del uso inteligente de la cartera.</w:t>
      </w:r>
    </w:p>
    <w:p w:rsidR="00E249B7" w:rsidRPr="003A75FE" w:rsidRDefault="00E249B7" w:rsidP="00E249B7">
      <w:pPr>
        <w:pStyle w:val="Textonotapie"/>
        <w:rPr>
          <w:lang w:val="es-CO"/>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9B7" w:rsidRDefault="00E249B7">
    <w:pPr>
      <w:pStyle w:val="Textoindependiente"/>
      <w:spacing w:line="14" w:lineRule="auto"/>
      <w:rPr>
        <w:sz w:val="20"/>
      </w:rPr>
    </w:pPr>
    <w:r>
      <w:pict>
        <v:shapetype id="_x0000_t202" coordsize="21600,21600" o:spt="202" path="m,l,21600r21600,l21600,xe">
          <v:stroke joinstyle="miter"/>
          <v:path gradientshapeok="t" o:connecttype="rect"/>
        </v:shapetype>
        <v:shape id="_x0000_s4097" type="#_x0000_t202" style="position:absolute;margin-left:183pt;margin-top:116.4pt;width:248pt;height:27.85pt;z-index:-251657216;mso-position-horizontal-relative:page;mso-position-vertical-relative:page" filled="f" stroked="f">
          <v:textbox inset="0,0,0,0">
            <w:txbxContent>
              <w:p w:rsidR="00E249B7" w:rsidRDefault="00E249B7">
                <w:pPr>
                  <w:tabs>
                    <w:tab w:val="left" w:pos="2156"/>
                    <w:tab w:val="left" w:pos="3274"/>
                  </w:tabs>
                  <w:spacing w:before="9" w:line="297" w:lineRule="exact"/>
                  <w:ind w:left="151"/>
                  <w:jc w:val="center"/>
                  <w:rPr>
                    <w:sz w:val="26"/>
                  </w:rPr>
                </w:pPr>
                <w:r>
                  <w:rPr>
                    <w:spacing w:val="4"/>
                    <w:sz w:val="26"/>
                  </w:rPr>
                  <w:t>M A U R I C</w:t>
                </w:r>
                <w:r>
                  <w:rPr>
                    <w:spacing w:val="-20"/>
                    <w:sz w:val="26"/>
                  </w:rPr>
                  <w:t xml:space="preserve"> </w:t>
                </w:r>
                <w:r>
                  <w:rPr>
                    <w:spacing w:val="4"/>
                    <w:sz w:val="26"/>
                  </w:rPr>
                  <w:t>I</w:t>
                </w:r>
                <w:r>
                  <w:rPr>
                    <w:sz w:val="26"/>
                  </w:rPr>
                  <w:t xml:space="preserve"> O</w:t>
                </w:r>
                <w:r>
                  <w:rPr>
                    <w:sz w:val="26"/>
                  </w:rPr>
                  <w:tab/>
                  <w:t xml:space="preserve">T </w:t>
                </w:r>
                <w:r>
                  <w:rPr>
                    <w:spacing w:val="4"/>
                    <w:sz w:val="26"/>
                  </w:rPr>
                  <w:t>O</w:t>
                </w:r>
                <w:r>
                  <w:rPr>
                    <w:sz w:val="26"/>
                  </w:rPr>
                  <w:t xml:space="preserve"> </w:t>
                </w:r>
                <w:r>
                  <w:rPr>
                    <w:spacing w:val="4"/>
                    <w:sz w:val="26"/>
                  </w:rPr>
                  <w:t>R</w:t>
                </w:r>
                <w:r>
                  <w:rPr>
                    <w:sz w:val="26"/>
                  </w:rPr>
                  <w:t xml:space="preserve"> O</w:t>
                </w:r>
                <w:r>
                  <w:rPr>
                    <w:sz w:val="26"/>
                  </w:rPr>
                  <w:tab/>
                </w:r>
                <w:r>
                  <w:rPr>
                    <w:spacing w:val="5"/>
                    <w:sz w:val="26"/>
                  </w:rPr>
                  <w:t>O R J U E L</w:t>
                </w:r>
                <w:r>
                  <w:rPr>
                    <w:spacing w:val="-25"/>
                    <w:sz w:val="26"/>
                  </w:rPr>
                  <w:t xml:space="preserve"> </w:t>
                </w:r>
                <w:r>
                  <w:rPr>
                    <w:sz w:val="26"/>
                  </w:rPr>
                  <w:t>A</w:t>
                </w:r>
                <w:r>
                  <w:rPr>
                    <w:spacing w:val="5"/>
                    <w:sz w:val="26"/>
                  </w:rPr>
                  <w:t xml:space="preserve"> </w:t>
                </w:r>
              </w:p>
              <w:p w:rsidR="00E249B7" w:rsidRDefault="00E249B7">
                <w:pPr>
                  <w:spacing w:line="230" w:lineRule="exact"/>
                  <w:ind w:left="11" w:right="28"/>
                  <w:jc w:val="center"/>
                  <w:rPr>
                    <w:rFonts w:ascii="Trebuchet MS" w:hAnsi="Trebuchet MS"/>
                    <w:sz w:val="20"/>
                  </w:rPr>
                </w:pPr>
                <w:r>
                  <w:rPr>
                    <w:rFonts w:ascii="Trebuchet MS" w:hAnsi="Trebuchet MS"/>
                    <w:spacing w:val="22"/>
                    <w:sz w:val="20"/>
                  </w:rPr>
                  <w:t xml:space="preserve">Re </w:t>
                </w:r>
                <w:r>
                  <w:rPr>
                    <w:rFonts w:ascii="Trebuchet MS" w:hAnsi="Trebuchet MS"/>
                    <w:sz w:val="20"/>
                  </w:rPr>
                  <w:t>p r e s e n t a n t e  a  l a  C á m a r a -  B o g o t</w:t>
                </w:r>
                <w:r>
                  <w:rPr>
                    <w:rFonts w:ascii="Trebuchet MS" w:hAnsi="Trebuchet MS"/>
                    <w:spacing w:val="7"/>
                    <w:sz w:val="20"/>
                  </w:rPr>
                  <w:t xml:space="preserve"> </w:t>
                </w:r>
                <w:r>
                  <w:rPr>
                    <w:rFonts w:ascii="Trebuchet MS" w:hAnsi="Trebuchet MS"/>
                    <w:sz w:val="20"/>
                  </w:rPr>
                  <w:t>á</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E61" w:rsidRDefault="00B03E61">
    <w:pPr>
      <w:pStyle w:val="Cuerpo"/>
      <w:spacing w:after="0" w:line="240" w:lineRule="auto"/>
      <w:jc w:val="center"/>
      <w:rPr>
        <w:rStyle w:val="Ninguno"/>
        <w:rFonts w:ascii="Times New Roman" w:hAnsi="Times New Roman"/>
        <w:noProof/>
        <w:sz w:val="24"/>
        <w:szCs w:val="24"/>
      </w:rPr>
    </w:pPr>
  </w:p>
  <w:p w:rsidR="00990CE2" w:rsidRDefault="00990CE2">
    <w:pPr>
      <w:pStyle w:val="Cuerpo"/>
      <w:spacing w:after="0" w:line="240" w:lineRule="auto"/>
      <w:jc w:val="center"/>
      <w:rPr>
        <w:rStyle w:val="Ninguno"/>
        <w:rFonts w:ascii="Times New Roman" w:hAnsi="Times New Roman"/>
        <w:noProof/>
        <w:sz w:val="24"/>
        <w:szCs w:val="24"/>
      </w:rPr>
    </w:pPr>
  </w:p>
  <w:p w:rsidR="00990CE2" w:rsidRDefault="00990CE2">
    <w:pPr>
      <w:pStyle w:val="Cuerpo"/>
      <w:spacing w:after="0" w:line="240" w:lineRule="auto"/>
      <w:jc w:val="center"/>
      <w:rPr>
        <w:rStyle w:val="Ninguno"/>
        <w:rFonts w:ascii="Times New Roman" w:hAnsi="Times New Roman"/>
        <w:noProof/>
        <w:sz w:val="24"/>
        <w:szCs w:val="24"/>
      </w:rPr>
    </w:pPr>
  </w:p>
  <w:p w:rsidR="00990CE2" w:rsidRDefault="00990CE2">
    <w:pPr>
      <w:pStyle w:val="Cuerpo"/>
      <w:spacing w:after="0" w:line="240" w:lineRule="auto"/>
      <w:jc w:val="center"/>
      <w:rPr>
        <w:rStyle w:val="Ninguno"/>
        <w:rFonts w:ascii="Times New Roman" w:hAnsi="Times New Roman"/>
        <w:sz w:val="24"/>
        <w:szCs w:val="24"/>
      </w:rPr>
    </w:pPr>
  </w:p>
  <w:p w:rsidR="00B03E61" w:rsidRDefault="00B03E61">
    <w:pPr>
      <w:pStyle w:val="Cuerpo"/>
      <w:spacing w:after="0" w:line="240" w:lineRule="auto"/>
      <w:jc w:val="center"/>
      <w:rPr>
        <w:rStyle w:val="Ninguno"/>
      </w:rPr>
    </w:pPr>
  </w:p>
  <w:p w:rsidR="00990CE2" w:rsidRDefault="00990CE2">
    <w:pPr>
      <w:pStyle w:val="Cuerpo"/>
      <w:spacing w:after="0" w:line="240" w:lineRule="auto"/>
      <w:jc w:val="center"/>
      <w:rPr>
        <w:rStyle w:val="Ninguno"/>
      </w:rPr>
    </w:pPr>
  </w:p>
  <w:p w:rsidR="00B03E61" w:rsidRDefault="00D431D9">
    <w:pPr>
      <w:pStyle w:val="Cuerpo"/>
      <w:spacing w:after="0" w:line="240" w:lineRule="auto"/>
      <w:jc w:val="center"/>
      <w:rPr>
        <w:rStyle w:val="Ninguno"/>
        <w:rFonts w:ascii="Times New Roman" w:eastAsia="Times New Roman" w:hAnsi="Times New Roman" w:cs="Times New Roman"/>
        <w:spacing w:val="65"/>
        <w:sz w:val="24"/>
        <w:szCs w:val="24"/>
      </w:rPr>
    </w:pPr>
    <w:r>
      <w:rPr>
        <w:rStyle w:val="Ninguno"/>
        <w:rFonts w:ascii="Gill Sans MT" w:eastAsia="Gill Sans MT" w:hAnsi="Gill Sans MT" w:cs="Gill Sans MT"/>
        <w:spacing w:val="65"/>
        <w:sz w:val="24"/>
        <w:szCs w:val="24"/>
      </w:rPr>
      <w:t xml:space="preserve"> </w:t>
    </w:r>
    <w:r>
      <w:rPr>
        <w:rStyle w:val="Ninguno"/>
        <w:rFonts w:ascii="Times New Roman" w:hAnsi="Times New Roman"/>
        <w:spacing w:val="70"/>
        <w:sz w:val="26"/>
        <w:szCs w:val="26"/>
        <w:lang w:val="es-ES_tradnl"/>
      </w:rPr>
      <w:t>MAURICIO TORO ORJUELA</w:t>
    </w:r>
  </w:p>
  <w:p w:rsidR="00B03E61" w:rsidRDefault="00D431D9">
    <w:pPr>
      <w:pStyle w:val="Cuerpo"/>
      <w:spacing w:after="0" w:line="240" w:lineRule="auto"/>
      <w:jc w:val="center"/>
      <w:rPr>
        <w:rStyle w:val="Ninguno"/>
        <w:rFonts w:ascii="Gill Sans MT" w:eastAsia="Gill Sans MT" w:hAnsi="Gill Sans MT" w:cs="Gill Sans MT"/>
        <w:spacing w:val="54"/>
        <w:sz w:val="20"/>
        <w:szCs w:val="20"/>
      </w:rPr>
    </w:pPr>
    <w:r>
      <w:rPr>
        <w:rStyle w:val="Ninguno"/>
        <w:spacing w:val="54"/>
        <w:sz w:val="20"/>
        <w:szCs w:val="20"/>
        <w:lang w:val="es-ES_tradnl"/>
      </w:rPr>
      <w:t>Representante a la Cámara- Bogotá</w:t>
    </w:r>
  </w:p>
  <w:p w:rsidR="00B03E61" w:rsidRDefault="00B03E61">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5016A"/>
    <w:multiLevelType w:val="hybridMultilevel"/>
    <w:tmpl w:val="E2E894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D13585"/>
    <w:multiLevelType w:val="multilevel"/>
    <w:tmpl w:val="EE0000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2C7ABC"/>
    <w:multiLevelType w:val="hybridMultilevel"/>
    <w:tmpl w:val="B5C269FC"/>
    <w:lvl w:ilvl="0" w:tplc="637604D4">
      <w:start w:val="1"/>
      <w:numFmt w:val="decimal"/>
      <w:lvlText w:val="%1."/>
      <w:lvlJc w:val="left"/>
      <w:pPr>
        <w:ind w:left="820" w:hanging="500"/>
      </w:pPr>
      <w:rPr>
        <w:rFonts w:ascii="Arial" w:eastAsia="Arial" w:hAnsi="Arial" w:cs="Arial" w:hint="default"/>
        <w:b/>
        <w:bCs/>
        <w:w w:val="100"/>
        <w:sz w:val="24"/>
        <w:szCs w:val="24"/>
      </w:rPr>
    </w:lvl>
    <w:lvl w:ilvl="1" w:tplc="BBFAE322">
      <w:start w:val="1"/>
      <w:numFmt w:val="decimal"/>
      <w:lvlText w:val="%2."/>
      <w:lvlJc w:val="left"/>
      <w:pPr>
        <w:ind w:left="1540" w:hanging="500"/>
      </w:pPr>
      <w:rPr>
        <w:rFonts w:ascii="Arial" w:eastAsia="Arial" w:hAnsi="Arial" w:cs="Arial" w:hint="default"/>
        <w:b/>
        <w:bCs/>
        <w:spacing w:val="-1"/>
        <w:w w:val="100"/>
        <w:sz w:val="24"/>
        <w:szCs w:val="24"/>
      </w:rPr>
    </w:lvl>
    <w:lvl w:ilvl="2" w:tplc="28B88C32">
      <w:numFmt w:val="bullet"/>
      <w:lvlText w:val="•"/>
      <w:lvlJc w:val="left"/>
      <w:pPr>
        <w:ind w:left="2375" w:hanging="500"/>
      </w:pPr>
      <w:rPr>
        <w:rFonts w:hint="default"/>
      </w:rPr>
    </w:lvl>
    <w:lvl w:ilvl="3" w:tplc="CC648CB4">
      <w:numFmt w:val="bullet"/>
      <w:lvlText w:val="•"/>
      <w:lvlJc w:val="left"/>
      <w:pPr>
        <w:ind w:left="3211" w:hanging="500"/>
      </w:pPr>
      <w:rPr>
        <w:rFonts w:hint="default"/>
      </w:rPr>
    </w:lvl>
    <w:lvl w:ilvl="4" w:tplc="5E1CE252">
      <w:numFmt w:val="bullet"/>
      <w:lvlText w:val="•"/>
      <w:lvlJc w:val="left"/>
      <w:pPr>
        <w:ind w:left="4046" w:hanging="500"/>
      </w:pPr>
      <w:rPr>
        <w:rFonts w:hint="default"/>
      </w:rPr>
    </w:lvl>
    <w:lvl w:ilvl="5" w:tplc="F5B0FA02">
      <w:numFmt w:val="bullet"/>
      <w:lvlText w:val="•"/>
      <w:lvlJc w:val="left"/>
      <w:pPr>
        <w:ind w:left="4882" w:hanging="500"/>
      </w:pPr>
      <w:rPr>
        <w:rFonts w:hint="default"/>
      </w:rPr>
    </w:lvl>
    <w:lvl w:ilvl="6" w:tplc="CD0AA1D2">
      <w:numFmt w:val="bullet"/>
      <w:lvlText w:val="•"/>
      <w:lvlJc w:val="left"/>
      <w:pPr>
        <w:ind w:left="5717" w:hanging="500"/>
      </w:pPr>
      <w:rPr>
        <w:rFonts w:hint="default"/>
      </w:rPr>
    </w:lvl>
    <w:lvl w:ilvl="7" w:tplc="82682DA6">
      <w:numFmt w:val="bullet"/>
      <w:lvlText w:val="•"/>
      <w:lvlJc w:val="left"/>
      <w:pPr>
        <w:ind w:left="6553" w:hanging="500"/>
      </w:pPr>
      <w:rPr>
        <w:rFonts w:hint="default"/>
      </w:rPr>
    </w:lvl>
    <w:lvl w:ilvl="8" w:tplc="A5AC534E">
      <w:numFmt w:val="bullet"/>
      <w:lvlText w:val="•"/>
      <w:lvlJc w:val="left"/>
      <w:pPr>
        <w:ind w:left="7388" w:hanging="500"/>
      </w:pPr>
      <w:rPr>
        <w:rFonts w:hint="default"/>
      </w:rPr>
    </w:lvl>
  </w:abstractNum>
  <w:abstractNum w:abstractNumId="3" w15:restartNumberingAfterBreak="0">
    <w:nsid w:val="248D7E81"/>
    <w:multiLevelType w:val="hybridMultilevel"/>
    <w:tmpl w:val="6204C9A2"/>
    <w:lvl w:ilvl="0" w:tplc="190C4BCC">
      <w:start w:val="1"/>
      <w:numFmt w:val="lowerLetter"/>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4" w15:restartNumberingAfterBreak="0">
    <w:nsid w:val="264F6447"/>
    <w:multiLevelType w:val="hybridMultilevel"/>
    <w:tmpl w:val="B59809A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B742B12"/>
    <w:multiLevelType w:val="multilevel"/>
    <w:tmpl w:val="0A3299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3B1841"/>
    <w:multiLevelType w:val="hybridMultilevel"/>
    <w:tmpl w:val="4F5AAB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B2B715D"/>
    <w:multiLevelType w:val="multilevel"/>
    <w:tmpl w:val="B6661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2E0C27"/>
    <w:multiLevelType w:val="multilevel"/>
    <w:tmpl w:val="ABD6B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1"/>
    <w:lvlOverride w:ilvl="0">
      <w:lvl w:ilvl="0">
        <w:numFmt w:val="decimal"/>
        <w:lvlText w:val="%1."/>
        <w:lvlJc w:val="left"/>
      </w:lvl>
    </w:lvlOverride>
  </w:num>
  <w:num w:numId="4">
    <w:abstractNumId w:val="5"/>
    <w:lvlOverride w:ilvl="0">
      <w:lvl w:ilvl="0">
        <w:numFmt w:val="decimal"/>
        <w:lvlText w:val="%1."/>
        <w:lvlJc w:val="left"/>
      </w:lvl>
    </w:lvlOverride>
  </w:num>
  <w:num w:numId="5">
    <w:abstractNumId w:val="8"/>
  </w:num>
  <w:num w:numId="6">
    <w:abstractNumId w:val="6"/>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E61"/>
    <w:rsid w:val="00074D1F"/>
    <w:rsid w:val="000D573E"/>
    <w:rsid w:val="000E228E"/>
    <w:rsid w:val="00131B16"/>
    <w:rsid w:val="0021770F"/>
    <w:rsid w:val="002C573E"/>
    <w:rsid w:val="00345214"/>
    <w:rsid w:val="0039181F"/>
    <w:rsid w:val="003B0668"/>
    <w:rsid w:val="003F1003"/>
    <w:rsid w:val="005A4F87"/>
    <w:rsid w:val="005C1C93"/>
    <w:rsid w:val="006D3B31"/>
    <w:rsid w:val="006D6366"/>
    <w:rsid w:val="006D6414"/>
    <w:rsid w:val="006E2475"/>
    <w:rsid w:val="00734D9C"/>
    <w:rsid w:val="00791DDA"/>
    <w:rsid w:val="007A6D17"/>
    <w:rsid w:val="007C7D66"/>
    <w:rsid w:val="00817B6E"/>
    <w:rsid w:val="00825C2A"/>
    <w:rsid w:val="008D30C0"/>
    <w:rsid w:val="00975944"/>
    <w:rsid w:val="00990CE2"/>
    <w:rsid w:val="00992297"/>
    <w:rsid w:val="009C0EE8"/>
    <w:rsid w:val="00A04E4D"/>
    <w:rsid w:val="00A9198A"/>
    <w:rsid w:val="00AF45A3"/>
    <w:rsid w:val="00B03E61"/>
    <w:rsid w:val="00B15AA8"/>
    <w:rsid w:val="00C45502"/>
    <w:rsid w:val="00CB6787"/>
    <w:rsid w:val="00D25DB7"/>
    <w:rsid w:val="00D431D9"/>
    <w:rsid w:val="00E249B7"/>
    <w:rsid w:val="00E336CB"/>
    <w:rsid w:val="00E55D16"/>
    <w:rsid w:val="00E64938"/>
    <w:rsid w:val="00FC64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34E3F7E7"/>
  <w15:docId w15:val="{DEFA4B01-DA97-4F68-BC4F-63A3C6D4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CO" w:eastAsia="es-CO"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Ttulo1">
    <w:name w:val="heading 1"/>
    <w:basedOn w:val="Normal"/>
    <w:next w:val="Normal"/>
    <w:link w:val="Ttulo1Car"/>
    <w:uiPriority w:val="9"/>
    <w:qFormat/>
    <w:rsid w:val="00E249B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B066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uerpo">
    <w:name w:val="Cuerpo"/>
    <w:pPr>
      <w:spacing w:after="200" w:line="276" w:lineRule="auto"/>
    </w:pPr>
    <w:rPr>
      <w:rFonts w:ascii="Calibri" w:eastAsia="Calibri" w:hAnsi="Calibri" w:cs="Calibri"/>
      <w:color w:val="000000"/>
      <w:sz w:val="22"/>
      <w:szCs w:val="22"/>
      <w:u w:color="000000"/>
    </w:rPr>
  </w:style>
  <w:style w:type="character" w:customStyle="1" w:styleId="Ninguno">
    <w:name w:val="Ninguno"/>
  </w:style>
  <w:style w:type="paragraph" w:styleId="Encabezado">
    <w:name w:val="header"/>
    <w:pPr>
      <w:tabs>
        <w:tab w:val="center" w:pos="4252"/>
        <w:tab w:val="right" w:pos="8504"/>
      </w:tabs>
    </w:pPr>
    <w:rPr>
      <w:rFonts w:ascii="Calibri" w:eastAsia="Calibri" w:hAnsi="Calibri" w:cs="Calibri"/>
      <w:color w:val="000000"/>
      <w:sz w:val="22"/>
      <w:szCs w:val="22"/>
      <w:u w:color="000000"/>
      <w:lang w:val="es-ES_tradnl"/>
    </w:rPr>
  </w:style>
  <w:style w:type="paragraph" w:styleId="Sinespaciado">
    <w:name w:val="No Spacing"/>
    <w:uiPriority w:val="1"/>
    <w:qFormat/>
    <w:rPr>
      <w:rFonts w:ascii="Calibri" w:eastAsia="Calibri" w:hAnsi="Calibri" w:cs="Calibri"/>
      <w:color w:val="000000"/>
      <w:sz w:val="22"/>
      <w:szCs w:val="22"/>
      <w:u w:color="000000"/>
      <w:lang w:val="es-ES_tradnl"/>
    </w:rPr>
  </w:style>
  <w:style w:type="paragraph" w:styleId="Piedepgina">
    <w:name w:val="footer"/>
    <w:link w:val="PiedepginaCar"/>
    <w:uiPriority w:val="99"/>
    <w:pPr>
      <w:tabs>
        <w:tab w:val="center" w:pos="4252"/>
        <w:tab w:val="right" w:pos="8504"/>
      </w:tabs>
    </w:pPr>
    <w:rPr>
      <w:rFonts w:ascii="Calibri" w:eastAsia="Calibri" w:hAnsi="Calibri" w:cs="Calibri"/>
      <w:color w:val="000000"/>
      <w:sz w:val="22"/>
      <w:szCs w:val="22"/>
      <w:u w:color="000000"/>
      <w:lang w:val="es-ES_tradnl"/>
    </w:rPr>
  </w:style>
  <w:style w:type="paragraph" w:styleId="Subttulo">
    <w:name w:val="Subtitle"/>
    <w:basedOn w:val="Normal"/>
    <w:next w:val="Normal"/>
    <w:link w:val="SubttuloCar"/>
    <w:uiPriority w:val="11"/>
    <w:qFormat/>
    <w:rsid w:val="002C573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2C573E"/>
    <w:rPr>
      <w:rFonts w:asciiTheme="minorHAnsi" w:eastAsiaTheme="minorEastAsia" w:hAnsiTheme="minorHAnsi" w:cstheme="minorBidi"/>
      <w:color w:val="5A5A5A" w:themeColor="text1" w:themeTint="A5"/>
      <w:spacing w:val="15"/>
      <w:sz w:val="22"/>
      <w:szCs w:val="22"/>
      <w:lang w:val="en-US" w:eastAsia="en-US"/>
    </w:rPr>
  </w:style>
  <w:style w:type="table" w:styleId="Tablaconcuadrcula">
    <w:name w:val="Table Grid"/>
    <w:basedOn w:val="Tablanormal"/>
    <w:uiPriority w:val="39"/>
    <w:rsid w:val="008D3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8D30C0"/>
    <w:pPr>
      <w:ind w:left="720"/>
      <w:contextualSpacing/>
    </w:pPr>
  </w:style>
  <w:style w:type="paragraph" w:styleId="Textodeglobo">
    <w:name w:val="Balloon Text"/>
    <w:basedOn w:val="Normal"/>
    <w:link w:val="TextodegloboCar"/>
    <w:uiPriority w:val="99"/>
    <w:semiHidden/>
    <w:unhideWhenUsed/>
    <w:rsid w:val="00AF45A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45A3"/>
    <w:rPr>
      <w:rFonts w:ascii="Segoe UI" w:hAnsi="Segoe UI" w:cs="Segoe UI"/>
      <w:sz w:val="18"/>
      <w:szCs w:val="18"/>
      <w:lang w:val="en-US" w:eastAsia="en-US"/>
    </w:rPr>
  </w:style>
  <w:style w:type="character" w:customStyle="1" w:styleId="Ttulo2Car">
    <w:name w:val="Título 2 Car"/>
    <w:basedOn w:val="Fuentedeprrafopredeter"/>
    <w:link w:val="Ttulo2"/>
    <w:uiPriority w:val="9"/>
    <w:rsid w:val="003B0668"/>
    <w:rPr>
      <w:rFonts w:asciiTheme="majorHAnsi" w:eastAsiaTheme="majorEastAsia" w:hAnsiTheme="majorHAnsi" w:cstheme="majorBidi"/>
      <w:color w:val="2E74B5" w:themeColor="accent1" w:themeShade="BF"/>
      <w:sz w:val="26"/>
      <w:szCs w:val="26"/>
      <w:lang w:val="en-US" w:eastAsia="en-US"/>
    </w:rPr>
  </w:style>
  <w:style w:type="character" w:customStyle="1" w:styleId="PiedepginaCar">
    <w:name w:val="Pie de página Car"/>
    <w:basedOn w:val="Fuentedeprrafopredeter"/>
    <w:link w:val="Piedepgina"/>
    <w:uiPriority w:val="99"/>
    <w:rsid w:val="00D25DB7"/>
    <w:rPr>
      <w:rFonts w:ascii="Calibri" w:eastAsia="Calibri" w:hAnsi="Calibri" w:cs="Calibri"/>
      <w:color w:val="000000"/>
      <w:sz w:val="22"/>
      <w:szCs w:val="22"/>
      <w:u w:color="000000"/>
      <w:lang w:val="es-ES_tradnl"/>
    </w:rPr>
  </w:style>
  <w:style w:type="character" w:customStyle="1" w:styleId="Ttulo1Car">
    <w:name w:val="Título 1 Car"/>
    <w:basedOn w:val="Fuentedeprrafopredeter"/>
    <w:link w:val="Ttulo1"/>
    <w:uiPriority w:val="9"/>
    <w:rsid w:val="00E249B7"/>
    <w:rPr>
      <w:rFonts w:asciiTheme="majorHAnsi" w:eastAsiaTheme="majorEastAsia" w:hAnsiTheme="majorHAnsi" w:cstheme="majorBidi"/>
      <w:color w:val="2E74B5" w:themeColor="accent1" w:themeShade="BF"/>
      <w:sz w:val="32"/>
      <w:szCs w:val="32"/>
      <w:lang w:val="en-US" w:eastAsia="en-US"/>
    </w:rPr>
  </w:style>
  <w:style w:type="paragraph" w:styleId="Textoindependiente">
    <w:name w:val="Body Text"/>
    <w:basedOn w:val="Normal"/>
    <w:link w:val="TextoindependienteCar"/>
    <w:uiPriority w:val="1"/>
    <w:qFormat/>
    <w:rsid w:val="00E249B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bdr w:val="none" w:sz="0" w:space="0" w:color="auto"/>
    </w:rPr>
  </w:style>
  <w:style w:type="character" w:customStyle="1" w:styleId="TextoindependienteCar">
    <w:name w:val="Texto independiente Car"/>
    <w:basedOn w:val="Fuentedeprrafopredeter"/>
    <w:link w:val="Textoindependiente"/>
    <w:uiPriority w:val="1"/>
    <w:rsid w:val="00E249B7"/>
    <w:rPr>
      <w:rFonts w:ascii="Arial" w:eastAsia="Arial" w:hAnsi="Arial" w:cs="Arial"/>
      <w:sz w:val="24"/>
      <w:szCs w:val="24"/>
      <w:bdr w:val="none" w:sz="0" w:space="0" w:color="auto"/>
      <w:lang w:val="en-US" w:eastAsia="en-US"/>
    </w:rPr>
  </w:style>
  <w:style w:type="paragraph" w:styleId="Textonotapie">
    <w:name w:val="footnote text"/>
    <w:basedOn w:val="Normal"/>
    <w:link w:val="TextonotapieCar"/>
    <w:uiPriority w:val="99"/>
    <w:semiHidden/>
    <w:unhideWhenUsed/>
    <w:rsid w:val="00E249B7"/>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sz w:val="20"/>
      <w:szCs w:val="20"/>
      <w:bdr w:val="none" w:sz="0" w:space="0" w:color="auto"/>
    </w:rPr>
  </w:style>
  <w:style w:type="character" w:customStyle="1" w:styleId="TextonotapieCar">
    <w:name w:val="Texto nota pie Car"/>
    <w:basedOn w:val="Fuentedeprrafopredeter"/>
    <w:link w:val="Textonotapie"/>
    <w:uiPriority w:val="99"/>
    <w:semiHidden/>
    <w:rsid w:val="00E249B7"/>
    <w:rPr>
      <w:rFonts w:ascii="Arial" w:eastAsia="Arial" w:hAnsi="Arial" w:cs="Arial"/>
      <w:bdr w:val="none" w:sz="0" w:space="0" w:color="auto"/>
      <w:lang w:val="en-US" w:eastAsia="en-US"/>
    </w:rPr>
  </w:style>
  <w:style w:type="character" w:styleId="Refdenotaalpie">
    <w:name w:val="footnote reference"/>
    <w:basedOn w:val="Fuentedeprrafopredeter"/>
    <w:uiPriority w:val="99"/>
    <w:semiHidden/>
    <w:unhideWhenUsed/>
    <w:rsid w:val="00E249B7"/>
    <w:rPr>
      <w:vertAlign w:val="superscript"/>
    </w:rPr>
  </w:style>
  <w:style w:type="paragraph" w:styleId="NormalWeb">
    <w:name w:val="Normal (Web)"/>
    <w:basedOn w:val="Normal"/>
    <w:uiPriority w:val="99"/>
    <w:semiHidden/>
    <w:unhideWhenUsed/>
    <w:rsid w:val="00E249B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462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14</Pages>
  <Words>3536</Words>
  <Characters>19454</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ronceria sanchez utl.HR mauricio toro</dc:creator>
  <cp:lastModifiedBy>Camilo Ernesto Romero Galvan.Secretaria General</cp:lastModifiedBy>
  <cp:revision>4</cp:revision>
  <cp:lastPrinted>2018-09-26T22:09:00Z</cp:lastPrinted>
  <dcterms:created xsi:type="dcterms:W3CDTF">2018-09-26T23:01:00Z</dcterms:created>
  <dcterms:modified xsi:type="dcterms:W3CDTF">2018-09-28T22:47:00Z</dcterms:modified>
</cp:coreProperties>
</file>